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07AFA" w14:textId="2DC977E6" w:rsidR="00830DEE" w:rsidRDefault="00C765D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w:t>
      </w:r>
      <w:r w:rsidR="000F4BA2">
        <w:rPr>
          <w:rFonts w:ascii="Arial" w:eastAsiaTheme="minorEastAsia" w:hAnsi="Arial" w:cs="Arial"/>
          <w:b/>
          <w:sz w:val="24"/>
          <w:szCs w:val="24"/>
          <w:lang w:val="en-US" w:eastAsia="zh-CN"/>
        </w:rPr>
        <w:t>PP TSG-RAN WG4 Meeting #10</w:t>
      </w:r>
      <w:r w:rsidR="00251BCA">
        <w:rPr>
          <w:rFonts w:ascii="Arial" w:eastAsiaTheme="minorEastAsia" w:hAnsi="Arial" w:cs="Arial"/>
          <w:b/>
          <w:sz w:val="24"/>
          <w:szCs w:val="24"/>
          <w:lang w:val="en-US" w:eastAsia="zh-CN"/>
        </w:rPr>
        <w:t>5</w:t>
      </w:r>
      <w:r w:rsidR="000F4BA2">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Pr="008D6C10">
        <w:rPr>
          <w:rFonts w:ascii="Arial" w:eastAsiaTheme="minorEastAsia" w:hAnsi="Arial" w:cs="Arial"/>
          <w:b/>
          <w:sz w:val="24"/>
          <w:szCs w:val="24"/>
          <w:lang w:val="en-US" w:eastAsia="zh-CN"/>
        </w:rPr>
        <w:t xml:space="preserve">   </w:t>
      </w:r>
      <w:r w:rsidR="0000035D">
        <w:rPr>
          <w:rFonts w:ascii="Arial" w:eastAsiaTheme="minorEastAsia" w:hAnsi="Arial" w:cs="Arial"/>
          <w:b/>
          <w:sz w:val="24"/>
          <w:szCs w:val="24"/>
          <w:lang w:val="en-US" w:eastAsia="zh-CN"/>
        </w:rPr>
        <w:t xml:space="preserve">         </w:t>
      </w:r>
      <w:r w:rsidR="0000035D" w:rsidRPr="0000035D">
        <w:rPr>
          <w:rFonts w:ascii="Arial" w:eastAsiaTheme="minorEastAsia" w:hAnsi="Arial" w:cs="Arial"/>
          <w:b/>
          <w:sz w:val="24"/>
          <w:szCs w:val="24"/>
          <w:lang w:val="en-US" w:eastAsia="zh-CN"/>
        </w:rPr>
        <w:t xml:space="preserve">R4-2219141 </w:t>
      </w:r>
    </w:p>
    <w:p w14:paraId="4CEAA3EF" w14:textId="4FE9B059" w:rsidR="00830DEE" w:rsidRDefault="00251BCA">
      <w:pPr>
        <w:spacing w:after="120"/>
        <w:ind w:left="1985" w:hanging="1985"/>
        <w:rPr>
          <w:rFonts w:ascii="Arial" w:hAnsi="Arial" w:cs="Arial"/>
          <w:b/>
          <w:sz w:val="24"/>
          <w:szCs w:val="24"/>
        </w:rPr>
      </w:pPr>
      <w:r>
        <w:rPr>
          <w:rFonts w:ascii="Arial" w:hAnsi="Arial" w:cs="Arial"/>
          <w:b/>
          <w:sz w:val="24"/>
          <w:szCs w:val="24"/>
        </w:rPr>
        <w:t>Toulouse</w:t>
      </w:r>
      <w:r w:rsidR="00C765D8">
        <w:rPr>
          <w:rFonts w:ascii="Arial" w:hAnsi="Arial" w:cs="Arial"/>
          <w:b/>
          <w:sz w:val="24"/>
          <w:szCs w:val="24"/>
        </w:rPr>
        <w:t>,</w:t>
      </w:r>
      <w:r w:rsidR="0030650B">
        <w:rPr>
          <w:rFonts w:ascii="Arial" w:hAnsi="Arial" w:cs="Arial"/>
          <w:b/>
          <w:sz w:val="24"/>
          <w:szCs w:val="24"/>
        </w:rPr>
        <w:t xml:space="preserve"> France,</w:t>
      </w:r>
      <w:r w:rsidR="00C765D8">
        <w:rPr>
          <w:rFonts w:ascii="Arial" w:hAnsi="Arial" w:cs="Arial"/>
          <w:b/>
          <w:sz w:val="24"/>
          <w:szCs w:val="24"/>
        </w:rPr>
        <w:t xml:space="preserve"> </w:t>
      </w:r>
      <w:r>
        <w:rPr>
          <w:rFonts w:ascii="Arial" w:hAnsi="Arial"/>
          <w:b/>
          <w:sz w:val="24"/>
          <w:szCs w:val="24"/>
        </w:rPr>
        <w:t>14</w:t>
      </w:r>
      <w:r w:rsidR="00434C18">
        <w:rPr>
          <w:rFonts w:ascii="Arial" w:hAnsi="Arial"/>
          <w:b/>
          <w:sz w:val="24"/>
          <w:szCs w:val="24"/>
          <w:vertAlign w:val="superscript"/>
        </w:rPr>
        <w:t>th</w:t>
      </w:r>
      <w:r w:rsidR="00C765D8">
        <w:rPr>
          <w:rFonts w:ascii="Arial" w:hAnsi="Arial"/>
          <w:b/>
          <w:sz w:val="24"/>
          <w:szCs w:val="24"/>
        </w:rPr>
        <w:t xml:space="preserve"> </w:t>
      </w:r>
      <w:r w:rsidR="00434C18">
        <w:rPr>
          <w:rFonts w:ascii="Arial" w:hAnsi="Arial"/>
          <w:b/>
          <w:sz w:val="24"/>
          <w:szCs w:val="24"/>
        </w:rPr>
        <w:t>November</w:t>
      </w:r>
      <w:r w:rsidR="00B714A0">
        <w:rPr>
          <w:rFonts w:ascii="Arial" w:hAnsi="Arial"/>
          <w:b/>
          <w:sz w:val="24"/>
          <w:szCs w:val="24"/>
        </w:rPr>
        <w:t xml:space="preserve"> </w:t>
      </w:r>
      <w:r w:rsidR="00C765D8">
        <w:rPr>
          <w:rFonts w:ascii="Arial" w:hAnsi="Arial"/>
          <w:b/>
          <w:sz w:val="24"/>
          <w:szCs w:val="24"/>
        </w:rPr>
        <w:t xml:space="preserve">– </w:t>
      </w:r>
      <w:r>
        <w:rPr>
          <w:rFonts w:ascii="Arial" w:hAnsi="Arial"/>
          <w:b/>
          <w:sz w:val="24"/>
          <w:szCs w:val="24"/>
        </w:rPr>
        <w:t>1</w:t>
      </w:r>
      <w:r w:rsidR="0030650B">
        <w:rPr>
          <w:rFonts w:ascii="Arial" w:hAnsi="Arial"/>
          <w:b/>
          <w:sz w:val="24"/>
          <w:szCs w:val="24"/>
        </w:rPr>
        <w:t>8</w:t>
      </w:r>
      <w:r w:rsidRPr="00251BCA">
        <w:rPr>
          <w:rFonts w:ascii="Arial" w:hAnsi="Arial"/>
          <w:b/>
          <w:sz w:val="24"/>
          <w:szCs w:val="24"/>
          <w:vertAlign w:val="superscript"/>
        </w:rPr>
        <w:t>th</w:t>
      </w:r>
      <w:r>
        <w:rPr>
          <w:rFonts w:ascii="Arial" w:hAnsi="Arial"/>
          <w:b/>
          <w:sz w:val="24"/>
          <w:szCs w:val="24"/>
        </w:rPr>
        <w:t xml:space="preserve"> </w:t>
      </w:r>
      <w:r w:rsidR="007B05DD">
        <w:rPr>
          <w:rFonts w:ascii="Arial" w:hAnsi="Arial"/>
          <w:b/>
          <w:sz w:val="24"/>
          <w:szCs w:val="24"/>
        </w:rPr>
        <w:t>November</w:t>
      </w:r>
      <w:r w:rsidR="00C765D8">
        <w:rPr>
          <w:rFonts w:ascii="Arial" w:hAnsi="Arial"/>
          <w:b/>
          <w:sz w:val="24"/>
          <w:szCs w:val="24"/>
        </w:rPr>
        <w:t xml:space="preserve"> 2022</w:t>
      </w:r>
    </w:p>
    <w:p w14:paraId="609FDCDE" w14:textId="77777777" w:rsidR="00830DEE" w:rsidRDefault="00830D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FE910B4" w14:textId="3F5DB3CE" w:rsidR="00830DEE" w:rsidRPr="0088713C" w:rsidRDefault="00C765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it-IT" w:eastAsia="zh-CN"/>
        </w:rPr>
      </w:pPr>
      <w:r w:rsidRPr="0088713C">
        <w:rPr>
          <w:rFonts w:ascii="Arial" w:eastAsia="MS Mincho" w:hAnsi="Arial" w:cs="Arial"/>
          <w:b/>
          <w:color w:val="000000"/>
          <w:sz w:val="22"/>
          <w:lang w:val="it-IT"/>
        </w:rPr>
        <w:t>Agenda item:</w:t>
      </w:r>
      <w:r w:rsidRPr="0088713C">
        <w:rPr>
          <w:rFonts w:ascii="Arial" w:eastAsia="MS Mincho" w:hAnsi="Arial" w:cs="Arial"/>
          <w:b/>
          <w:color w:val="000000"/>
          <w:sz w:val="22"/>
          <w:lang w:val="it-IT"/>
        </w:rPr>
        <w:tab/>
      </w:r>
      <w:r w:rsidRPr="0088713C">
        <w:rPr>
          <w:rFonts w:ascii="Arial" w:eastAsia="MS Mincho" w:hAnsi="Arial" w:cs="Arial"/>
          <w:b/>
          <w:color w:val="000000"/>
          <w:sz w:val="22"/>
          <w:lang w:val="it-IT" w:eastAsia="ja-JP"/>
        </w:rPr>
        <w:tab/>
      </w:r>
      <w:r w:rsidRPr="0088713C">
        <w:rPr>
          <w:rFonts w:ascii="Arial" w:eastAsia="MS Mincho" w:hAnsi="Arial" w:cs="Arial"/>
          <w:b/>
          <w:color w:val="000000"/>
          <w:sz w:val="22"/>
          <w:lang w:val="it-IT" w:eastAsia="ja-JP"/>
        </w:rPr>
        <w:tab/>
      </w:r>
      <w:r w:rsidR="0030650B">
        <w:rPr>
          <w:rFonts w:ascii="Arial" w:eastAsiaTheme="minorEastAsia" w:hAnsi="Arial" w:cs="Arial"/>
          <w:color w:val="000000"/>
          <w:sz w:val="22"/>
          <w:lang w:val="it-IT" w:eastAsia="zh-CN"/>
        </w:rPr>
        <w:t>8</w:t>
      </w:r>
      <w:r w:rsidR="00434C18">
        <w:rPr>
          <w:rFonts w:ascii="Arial" w:eastAsiaTheme="minorEastAsia" w:hAnsi="Arial" w:cs="Arial"/>
          <w:color w:val="000000"/>
          <w:sz w:val="22"/>
          <w:lang w:val="it-IT" w:eastAsia="zh-CN"/>
        </w:rPr>
        <w:t>.</w:t>
      </w:r>
      <w:r w:rsidR="0030650B">
        <w:rPr>
          <w:rFonts w:ascii="Arial" w:eastAsiaTheme="minorEastAsia" w:hAnsi="Arial" w:cs="Arial"/>
          <w:color w:val="000000"/>
          <w:sz w:val="22"/>
          <w:lang w:val="it-IT" w:eastAsia="zh-CN"/>
        </w:rPr>
        <w:t>23</w:t>
      </w:r>
      <w:r w:rsidR="00434C18">
        <w:rPr>
          <w:rFonts w:ascii="Arial" w:eastAsiaTheme="minorEastAsia" w:hAnsi="Arial" w:cs="Arial"/>
          <w:color w:val="000000"/>
          <w:sz w:val="22"/>
          <w:lang w:val="it-IT" w:eastAsia="zh-CN"/>
        </w:rPr>
        <w:t>.</w:t>
      </w:r>
      <w:r w:rsidR="0030650B">
        <w:rPr>
          <w:rFonts w:ascii="Arial" w:eastAsiaTheme="minorEastAsia" w:hAnsi="Arial" w:cs="Arial"/>
          <w:color w:val="000000"/>
          <w:sz w:val="22"/>
          <w:lang w:val="it-IT" w:eastAsia="zh-CN"/>
        </w:rPr>
        <w:t>1</w:t>
      </w:r>
      <w:r w:rsidR="00434C18">
        <w:rPr>
          <w:rFonts w:ascii="Arial" w:eastAsiaTheme="minorEastAsia" w:hAnsi="Arial" w:cs="Arial"/>
          <w:color w:val="000000"/>
          <w:sz w:val="22"/>
          <w:lang w:val="it-IT" w:eastAsia="zh-CN"/>
        </w:rPr>
        <w:t>.</w:t>
      </w:r>
      <w:r w:rsidR="00FE06C1">
        <w:rPr>
          <w:rFonts w:ascii="Arial" w:eastAsiaTheme="minorEastAsia" w:hAnsi="Arial" w:cs="Arial"/>
          <w:color w:val="000000"/>
          <w:sz w:val="22"/>
          <w:lang w:val="it-IT" w:eastAsia="zh-CN"/>
        </w:rPr>
        <w:t>2</w:t>
      </w:r>
    </w:p>
    <w:p w14:paraId="5B32C459" w14:textId="2C397DA2" w:rsidR="00830DEE" w:rsidRPr="009A0759" w:rsidRDefault="00C765D8">
      <w:pPr>
        <w:spacing w:after="120"/>
        <w:ind w:left="1985" w:hanging="1985"/>
        <w:rPr>
          <w:rFonts w:ascii="Arial" w:hAnsi="Arial" w:cs="Arial"/>
          <w:color w:val="000000"/>
          <w:sz w:val="22"/>
          <w:lang w:val="en-US" w:eastAsia="zh-CN"/>
        </w:rPr>
      </w:pPr>
      <w:r w:rsidRPr="009A0759">
        <w:rPr>
          <w:rFonts w:ascii="Arial" w:eastAsia="MS Mincho" w:hAnsi="Arial" w:cs="Arial"/>
          <w:b/>
          <w:sz w:val="22"/>
          <w:lang w:val="en-US"/>
        </w:rPr>
        <w:t>Source:</w:t>
      </w:r>
      <w:r w:rsidRPr="009A0759">
        <w:rPr>
          <w:rFonts w:ascii="Arial" w:eastAsia="MS Mincho" w:hAnsi="Arial" w:cs="Arial"/>
          <w:b/>
          <w:sz w:val="22"/>
          <w:lang w:val="en-US"/>
        </w:rPr>
        <w:tab/>
      </w:r>
      <w:r w:rsidR="00434C18" w:rsidRPr="009A0759">
        <w:rPr>
          <w:rFonts w:ascii="Arial" w:eastAsia="MS Mincho" w:hAnsi="Arial" w:cs="Arial"/>
          <w:bCs/>
          <w:sz w:val="22"/>
          <w:lang w:val="en-US"/>
        </w:rPr>
        <w:t>Inmarsat</w:t>
      </w:r>
      <w:r w:rsidR="008251F6" w:rsidRPr="009A0759">
        <w:rPr>
          <w:rFonts w:ascii="Arial" w:eastAsia="MS Mincho" w:hAnsi="Arial" w:cs="Arial"/>
          <w:bCs/>
          <w:sz w:val="22"/>
          <w:lang w:val="en-US"/>
        </w:rPr>
        <w:t xml:space="preserve">, </w:t>
      </w:r>
      <w:r w:rsidR="00767F1B">
        <w:rPr>
          <w:rFonts w:ascii="Arial" w:eastAsia="MS Mincho" w:hAnsi="Arial" w:cs="Arial"/>
          <w:bCs/>
          <w:sz w:val="22"/>
          <w:lang w:val="en-US"/>
        </w:rPr>
        <w:t>Thales</w:t>
      </w:r>
    </w:p>
    <w:p w14:paraId="45A36705" w14:textId="1783C3C5" w:rsidR="00830DEE" w:rsidRDefault="00C765D8">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bookmarkStart w:id="0" w:name="_Hlk118713927"/>
      <w:r w:rsidR="0000035D" w:rsidRPr="009A0759">
        <w:rPr>
          <w:rFonts w:ascii="Arial" w:eastAsia="MS Mincho" w:hAnsi="Arial" w:cs="Arial"/>
          <w:bCs/>
          <w:color w:val="000000"/>
          <w:sz w:val="22"/>
          <w:lang w:val="en-US"/>
        </w:rPr>
        <w:t>Regulatory background for satellite NTN Ka band</w:t>
      </w:r>
      <w:bookmarkEnd w:id="0"/>
    </w:p>
    <w:p w14:paraId="28B3F8BE" w14:textId="30A18C24" w:rsidR="00830DEE" w:rsidRDefault="00C765D8">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sidR="00434C18">
        <w:rPr>
          <w:rFonts w:ascii="Arial" w:eastAsiaTheme="minorEastAsia" w:hAnsi="Arial" w:cs="Arial"/>
          <w:color w:val="000000"/>
          <w:sz w:val="22"/>
          <w:lang w:val="en-US" w:eastAsia="zh-CN"/>
        </w:rPr>
        <w:t>Discussion</w:t>
      </w:r>
    </w:p>
    <w:p w14:paraId="1B5A6745" w14:textId="77777777" w:rsidR="00830DEE" w:rsidRDefault="00C765D8">
      <w:pPr>
        <w:pStyle w:val="Heading1"/>
        <w:rPr>
          <w:rFonts w:eastAsiaTheme="minorEastAsia"/>
          <w:lang w:val="en-US" w:eastAsia="zh-CN"/>
        </w:rPr>
      </w:pPr>
      <w:r>
        <w:rPr>
          <w:lang w:val="en-US" w:eastAsia="ja-JP"/>
        </w:rPr>
        <w:t>Introduction</w:t>
      </w:r>
    </w:p>
    <w:p w14:paraId="070EE384" w14:textId="251CFF64" w:rsidR="002B7252" w:rsidRDefault="002B7252" w:rsidP="00581BCB">
      <w:pPr>
        <w:spacing w:after="120"/>
        <w:ind w:hanging="1"/>
        <w:jc w:val="both"/>
        <w:rPr>
          <w:rFonts w:ascii="Arial" w:hAnsi="Arial" w:cs="Arial"/>
          <w:bCs/>
          <w:iCs/>
          <w:lang w:val="en-US" w:eastAsia="zh-CN"/>
        </w:rPr>
      </w:pPr>
      <w:r>
        <w:rPr>
          <w:rFonts w:ascii="Arial" w:hAnsi="Arial" w:cs="Arial"/>
          <w:bCs/>
          <w:iCs/>
          <w:lang w:val="en-US" w:eastAsia="zh-CN"/>
        </w:rPr>
        <w:t xml:space="preserve">During </w:t>
      </w:r>
      <w:r w:rsidR="006F3848">
        <w:rPr>
          <w:rFonts w:ascii="Arial" w:hAnsi="Arial" w:cs="Arial"/>
          <w:bCs/>
          <w:iCs/>
          <w:lang w:val="en-US" w:eastAsia="zh-CN"/>
        </w:rPr>
        <w:t>prior RAN4</w:t>
      </w:r>
      <w:r>
        <w:rPr>
          <w:rFonts w:ascii="Arial" w:hAnsi="Arial" w:cs="Arial"/>
          <w:bCs/>
          <w:iCs/>
          <w:lang w:val="en-US" w:eastAsia="zh-CN"/>
        </w:rPr>
        <w:t xml:space="preserve"> meeting</w:t>
      </w:r>
      <w:r w:rsidR="006F3848">
        <w:rPr>
          <w:rFonts w:ascii="Arial" w:hAnsi="Arial" w:cs="Arial"/>
          <w:bCs/>
          <w:iCs/>
          <w:lang w:val="en-US" w:eastAsia="zh-CN"/>
        </w:rPr>
        <w:t xml:space="preserve">s and in particular </w:t>
      </w:r>
      <w:r w:rsidR="006F3848" w:rsidRPr="004E0561">
        <w:rPr>
          <w:rFonts w:ascii="Arial" w:eastAsiaTheme="minorEastAsia" w:hAnsi="Arial" w:cs="Arial"/>
          <w:lang w:val="en-US"/>
        </w:rPr>
        <w:t>RAN4#104-bis-e</w:t>
      </w:r>
      <w:r w:rsidR="006F3848">
        <w:rPr>
          <w:rFonts w:ascii="Arial" w:eastAsiaTheme="minorEastAsia" w:hAnsi="Arial" w:cs="Arial"/>
          <w:lang w:val="en-US"/>
        </w:rPr>
        <w:t>,</w:t>
      </w:r>
      <w:r>
        <w:rPr>
          <w:rFonts w:ascii="Arial" w:hAnsi="Arial" w:cs="Arial"/>
          <w:bCs/>
          <w:iCs/>
          <w:lang w:val="en-US" w:eastAsia="zh-CN"/>
        </w:rPr>
        <w:t xml:space="preserve"> there were some misunderstandings and </w:t>
      </w:r>
      <w:r w:rsidR="00916EB4">
        <w:rPr>
          <w:rFonts w:ascii="Arial" w:hAnsi="Arial" w:cs="Arial"/>
          <w:bCs/>
          <w:iCs/>
          <w:lang w:val="en-US" w:eastAsia="zh-CN"/>
        </w:rPr>
        <w:t>clarifications required on the regulatory background for operation of satellite services in Ka band, as well as confusion in respect to the FSS and MSS denominations in the Ka band spectrum.</w:t>
      </w:r>
    </w:p>
    <w:p w14:paraId="79171709" w14:textId="77CB0263" w:rsidR="0055048E" w:rsidRDefault="0055048E" w:rsidP="0055048E">
      <w:pPr>
        <w:spacing w:after="120"/>
        <w:ind w:hanging="1"/>
        <w:jc w:val="both"/>
        <w:rPr>
          <w:rFonts w:ascii="Arial" w:hAnsi="Arial" w:cs="Arial"/>
          <w:bCs/>
          <w:iCs/>
          <w:lang w:val="en-US" w:eastAsia="zh-CN"/>
        </w:rPr>
      </w:pPr>
      <w:r>
        <w:rPr>
          <w:rFonts w:ascii="Arial" w:hAnsi="Arial" w:cs="Arial"/>
          <w:bCs/>
          <w:iCs/>
          <w:lang w:val="en-US" w:eastAsia="zh-CN"/>
        </w:rPr>
        <w:t>This TDoc aims at providing some of the regulatory background</w:t>
      </w:r>
      <w:r w:rsidR="00916EB4">
        <w:rPr>
          <w:rFonts w:ascii="Arial" w:hAnsi="Arial" w:cs="Arial"/>
          <w:bCs/>
          <w:iCs/>
          <w:lang w:val="en-US" w:eastAsia="zh-CN"/>
        </w:rPr>
        <w:t>, clarification and guidance to address the definition of bands and RF Core specifications for</w:t>
      </w:r>
      <w:r>
        <w:rPr>
          <w:rFonts w:ascii="Arial" w:hAnsi="Arial" w:cs="Arial"/>
          <w:bCs/>
          <w:iCs/>
          <w:lang w:val="en-US" w:eastAsia="zh-CN"/>
        </w:rPr>
        <w:t xml:space="preserve"> NTN operation in Ka band, which in turn could serve as a framework for future definition of additional bands</w:t>
      </w:r>
      <w:r w:rsidR="00916EB4">
        <w:rPr>
          <w:rFonts w:ascii="Arial" w:hAnsi="Arial" w:cs="Arial"/>
          <w:bCs/>
          <w:iCs/>
          <w:lang w:val="en-US" w:eastAsia="zh-CN"/>
        </w:rPr>
        <w:t xml:space="preserve">, as well as clarifying the distinction between FSS and MSS, and </w:t>
      </w:r>
      <w:r w:rsidR="005067C7">
        <w:rPr>
          <w:rFonts w:ascii="Arial" w:hAnsi="Arial" w:cs="Arial"/>
          <w:bCs/>
          <w:iCs/>
          <w:lang w:val="en-US" w:eastAsia="zh-CN"/>
        </w:rPr>
        <w:t>which of these ranges should be prioritized for NTN Ka band in Release 18, specifically to address the scope of this WI</w:t>
      </w:r>
      <w:r>
        <w:rPr>
          <w:rFonts w:ascii="Arial" w:hAnsi="Arial" w:cs="Arial"/>
          <w:bCs/>
          <w:iCs/>
          <w:lang w:val="en-US" w:eastAsia="zh-CN"/>
        </w:rPr>
        <w:t>.</w:t>
      </w:r>
      <w:r w:rsidR="00767F1B">
        <w:rPr>
          <w:rFonts w:ascii="Arial" w:hAnsi="Arial" w:cs="Arial"/>
          <w:bCs/>
          <w:iCs/>
          <w:lang w:val="en-US" w:eastAsia="zh-CN"/>
        </w:rPr>
        <w:t xml:space="preserve">  This document does not try to be an extensive survey of the regulatory background, but can hopefully provide some useful input.</w:t>
      </w:r>
    </w:p>
    <w:p w14:paraId="6B5D975F" w14:textId="685097CA" w:rsidR="0055048E" w:rsidRPr="009A0759" w:rsidRDefault="0055048E" w:rsidP="0055048E">
      <w:pPr>
        <w:spacing w:after="120"/>
        <w:ind w:hanging="1"/>
        <w:jc w:val="both"/>
        <w:rPr>
          <w:rFonts w:ascii="Arial" w:hAnsi="Arial" w:cs="Arial"/>
          <w:bCs/>
          <w:iCs/>
          <w:lang w:val="en-US" w:eastAsia="zh-CN"/>
        </w:rPr>
      </w:pPr>
      <w:r>
        <w:rPr>
          <w:rFonts w:ascii="Arial" w:hAnsi="Arial" w:cs="Arial"/>
          <w:bCs/>
          <w:iCs/>
          <w:lang w:val="en-US" w:eastAsia="zh-CN"/>
        </w:rPr>
        <w:t>The proposal of specific NTN bands to address harmonized Ka band is covered in a separate TDoc.</w:t>
      </w:r>
    </w:p>
    <w:p w14:paraId="05ADBEE2" w14:textId="387155E5" w:rsidR="00830DEE" w:rsidRDefault="004B5C3F">
      <w:pPr>
        <w:pStyle w:val="Heading1"/>
        <w:rPr>
          <w:lang w:val="en-US" w:eastAsia="ja-JP"/>
        </w:rPr>
      </w:pPr>
      <w:r>
        <w:rPr>
          <w:lang w:val="en-US" w:eastAsia="ja-JP"/>
        </w:rPr>
        <w:t>Discussion</w:t>
      </w:r>
    </w:p>
    <w:p w14:paraId="6EF90163" w14:textId="6B6C02CB" w:rsidR="002F0F03" w:rsidRPr="009A0759" w:rsidRDefault="002F0F03" w:rsidP="009A0759">
      <w:pPr>
        <w:pStyle w:val="Heading2"/>
        <w:rPr>
          <w:rFonts w:eastAsia="MS Mincho"/>
        </w:rPr>
      </w:pPr>
      <w:r>
        <w:rPr>
          <w:rFonts w:eastAsia="MS Mincho"/>
        </w:rPr>
        <w:t>ITU-R and WRC</w:t>
      </w:r>
    </w:p>
    <w:p w14:paraId="3549B98D" w14:textId="77777777" w:rsidR="00C13EE3" w:rsidRDefault="00C13EE3" w:rsidP="00C13EE3">
      <w:pPr>
        <w:pStyle w:val="Text"/>
        <w:rPr>
          <w:rFonts w:eastAsiaTheme="minorEastAsia" w:cs="v5.0.0"/>
          <w:sz w:val="20"/>
          <w:lang w:val="en-US" w:eastAsia="en-US"/>
        </w:rPr>
      </w:pPr>
      <w:r w:rsidRPr="009367CC">
        <w:rPr>
          <w:rFonts w:eastAsiaTheme="minorEastAsia" w:cs="v5.0.0"/>
          <w:sz w:val="20"/>
          <w:lang w:val="en-US" w:eastAsia="en-US"/>
        </w:rPr>
        <w:t>When satellite operators refer to “Harmonized Ka</w:t>
      </w:r>
      <w:r>
        <w:rPr>
          <w:rFonts w:eastAsiaTheme="minorEastAsia" w:cs="v5.0.0"/>
          <w:sz w:val="20"/>
          <w:lang w:val="en-US" w:eastAsia="en-US"/>
        </w:rPr>
        <w:t>-</w:t>
      </w:r>
      <w:r w:rsidRPr="009367CC">
        <w:rPr>
          <w:rFonts w:eastAsiaTheme="minorEastAsia" w:cs="v5.0.0"/>
          <w:sz w:val="20"/>
          <w:lang w:val="en-US" w:eastAsia="en-US"/>
        </w:rPr>
        <w:t>band”, we typically refer to the Ka</w:t>
      </w:r>
      <w:r>
        <w:rPr>
          <w:rFonts w:eastAsiaTheme="minorEastAsia" w:cs="v5.0.0"/>
          <w:sz w:val="20"/>
          <w:lang w:val="en-US" w:eastAsia="en-US"/>
        </w:rPr>
        <w:t>-</w:t>
      </w:r>
      <w:r w:rsidRPr="009367CC">
        <w:rPr>
          <w:rFonts w:eastAsiaTheme="minorEastAsia" w:cs="v5.0.0"/>
          <w:sz w:val="20"/>
          <w:lang w:val="en-US" w:eastAsia="en-US"/>
        </w:rPr>
        <w:t>band range that has been defined for FSS operations</w:t>
      </w:r>
      <w:r>
        <w:rPr>
          <w:rFonts w:eastAsiaTheme="minorEastAsia" w:cs="v5.0.0"/>
          <w:sz w:val="20"/>
          <w:lang w:val="en-US" w:eastAsia="en-US"/>
        </w:rPr>
        <w:t>, which include</w:t>
      </w:r>
      <w:r w:rsidRPr="009367CC">
        <w:rPr>
          <w:rFonts w:eastAsiaTheme="minorEastAsia" w:cs="v5.0.0"/>
          <w:sz w:val="20"/>
          <w:lang w:val="en-US" w:eastAsia="en-US"/>
        </w:rPr>
        <w:t xml:space="preserve"> both fixed Earth Stations and Earth Stations in Motion – ESIMs</w:t>
      </w:r>
      <w:r>
        <w:rPr>
          <w:rFonts w:eastAsiaTheme="minorEastAsia" w:cs="v5.0.0"/>
          <w:sz w:val="20"/>
          <w:lang w:val="en-US" w:eastAsia="en-US"/>
        </w:rPr>
        <w:t xml:space="preserve">. </w:t>
      </w:r>
    </w:p>
    <w:p w14:paraId="686038FA" w14:textId="30BE368D" w:rsidR="00C13EE3" w:rsidRDefault="00C13EE3" w:rsidP="00C13EE3">
      <w:pPr>
        <w:pStyle w:val="Text"/>
        <w:rPr>
          <w:rFonts w:eastAsiaTheme="minorEastAsia" w:cs="v5.0.0"/>
          <w:sz w:val="20"/>
          <w:lang w:val="en-US" w:eastAsia="en-US"/>
        </w:rPr>
      </w:pPr>
      <w:r>
        <w:rPr>
          <w:rFonts w:eastAsiaTheme="minorEastAsia" w:cs="v5.0.0"/>
          <w:sz w:val="20"/>
          <w:lang w:val="en-US" w:eastAsia="en-US"/>
        </w:rPr>
        <w:t>Earth Stations is the term used in regulatory to identify satellite terminals with a high gain antenna, ranging from gateways to Very Small Aperture Terminals (VSAT).</w:t>
      </w:r>
      <w:r w:rsidR="0055048E">
        <w:rPr>
          <w:rFonts w:eastAsiaTheme="minorEastAsia" w:cs="v5.0.0"/>
          <w:sz w:val="20"/>
          <w:lang w:val="en-US" w:eastAsia="en-US"/>
        </w:rPr>
        <w:t xml:space="preserve">  Other terms are also adopted in certain cases, depending on historical precedent or context.</w:t>
      </w:r>
    </w:p>
    <w:p w14:paraId="77C7948B" w14:textId="01A02FA9" w:rsidR="006F3848" w:rsidRDefault="00C13EE3" w:rsidP="00C13EE3">
      <w:pPr>
        <w:pStyle w:val="Text"/>
        <w:rPr>
          <w:rFonts w:eastAsiaTheme="minorEastAsia" w:cs="v5.0.0"/>
          <w:sz w:val="20"/>
          <w:lang w:val="en-US" w:eastAsia="en-US"/>
        </w:rPr>
      </w:pPr>
      <w:r>
        <w:rPr>
          <w:rFonts w:eastAsiaTheme="minorEastAsia" w:cs="v5.0.0"/>
          <w:sz w:val="20"/>
          <w:lang w:val="en-US" w:eastAsia="en-US"/>
        </w:rPr>
        <w:t>Earth Stations in Motions are Earth Stations that are able to move, typically mounted on a moving platform such as a vehicle, a ship or an aircraft.  In fact, the historical term of ESIMs was Earth Stations On Moving Platforms (ESOMP)</w:t>
      </w:r>
      <w:r w:rsidR="006F3848">
        <w:rPr>
          <w:rFonts w:eastAsiaTheme="minorEastAsia" w:cs="v5.0.0"/>
          <w:sz w:val="20"/>
          <w:lang w:val="en-US" w:eastAsia="en-US"/>
        </w:rPr>
        <w:t>, and this term is still used by some regulatory bodies, such as CEPT (ECC).  For practical purposes, the terms ESIM and ESOMP can be considered equivalent, but we will adopt the term ESIM throughout the discussion, as it is more commonly used.</w:t>
      </w:r>
    </w:p>
    <w:p w14:paraId="4E76B818" w14:textId="1A69E332" w:rsidR="00C13EE3" w:rsidRDefault="006F3848" w:rsidP="00C13EE3">
      <w:pPr>
        <w:pStyle w:val="Text"/>
        <w:rPr>
          <w:rFonts w:eastAsiaTheme="minorEastAsia" w:cs="v5.0.0"/>
          <w:sz w:val="20"/>
          <w:lang w:val="en-US" w:eastAsia="en-US"/>
        </w:rPr>
      </w:pPr>
      <w:r>
        <w:rPr>
          <w:rFonts w:eastAsiaTheme="minorEastAsia" w:cs="v5.0.0"/>
          <w:b/>
          <w:bCs/>
          <w:sz w:val="20"/>
          <w:lang w:val="en-US" w:eastAsia="en-US"/>
        </w:rPr>
        <w:t xml:space="preserve">Observation 1: </w:t>
      </w:r>
      <w:r w:rsidR="00C13EE3">
        <w:rPr>
          <w:rFonts w:eastAsiaTheme="minorEastAsia" w:cs="v5.0.0"/>
          <w:sz w:val="20"/>
          <w:lang w:val="en-US" w:eastAsia="en-US"/>
        </w:rPr>
        <w:t xml:space="preserve">An ESIM </w:t>
      </w:r>
      <w:r>
        <w:rPr>
          <w:rFonts w:eastAsiaTheme="minorEastAsia" w:cs="v5.0.0"/>
          <w:sz w:val="20"/>
          <w:lang w:val="en-US" w:eastAsia="en-US"/>
        </w:rPr>
        <w:t xml:space="preserve">or ESOMP </w:t>
      </w:r>
      <w:r w:rsidR="00C13EE3">
        <w:rPr>
          <w:rFonts w:eastAsiaTheme="minorEastAsia" w:cs="v5.0.0"/>
          <w:sz w:val="20"/>
          <w:lang w:val="en-US" w:eastAsia="en-US"/>
        </w:rPr>
        <w:t>can also be informally referred to as a “mo</w:t>
      </w:r>
      <w:r w:rsidR="009D0520">
        <w:rPr>
          <w:rFonts w:eastAsiaTheme="minorEastAsia" w:cs="v5.0.0"/>
          <w:sz w:val="20"/>
          <w:lang w:val="en-US" w:eastAsia="en-US"/>
        </w:rPr>
        <w:t>bile</w:t>
      </w:r>
      <w:r w:rsidR="00C13EE3">
        <w:rPr>
          <w:rFonts w:eastAsiaTheme="minorEastAsia" w:cs="v5.0.0"/>
          <w:sz w:val="20"/>
          <w:lang w:val="en-US" w:eastAsia="en-US"/>
        </w:rPr>
        <w:t xml:space="preserve"> VSAT”</w:t>
      </w:r>
      <w:r w:rsidR="00C80A37">
        <w:rPr>
          <w:rFonts w:eastAsiaTheme="minorEastAsia" w:cs="v5.0.0"/>
          <w:sz w:val="20"/>
          <w:lang w:val="en-US" w:eastAsia="en-US"/>
        </w:rPr>
        <w:t xml:space="preserve"> in the FSS spectrum</w:t>
      </w:r>
      <w:r w:rsidR="00C13EE3">
        <w:rPr>
          <w:rFonts w:eastAsiaTheme="minorEastAsia" w:cs="v5.0.0"/>
          <w:sz w:val="20"/>
          <w:lang w:val="en-US" w:eastAsia="en-US"/>
        </w:rPr>
        <w:t>, which is a term that has better applicability from a technical standpoint, because ESIMs and fixed Earth Stations exhibit the same technical characteristics</w:t>
      </w:r>
      <w:r>
        <w:rPr>
          <w:rFonts w:eastAsiaTheme="minorEastAsia" w:cs="v5.0.0"/>
          <w:sz w:val="20"/>
          <w:lang w:val="en-US" w:eastAsia="en-US"/>
        </w:rPr>
        <w:t>, such as on-/off-axis emission</w:t>
      </w:r>
      <w:r w:rsidR="00C80A37">
        <w:rPr>
          <w:rFonts w:eastAsiaTheme="minorEastAsia" w:cs="v5.0.0"/>
          <w:sz w:val="20"/>
          <w:lang w:val="en-US" w:eastAsia="en-US"/>
        </w:rPr>
        <w:t xml:space="preserve"> requirements</w:t>
      </w:r>
      <w:r>
        <w:rPr>
          <w:rFonts w:eastAsiaTheme="minorEastAsia" w:cs="v5.0.0"/>
          <w:sz w:val="20"/>
          <w:lang w:val="en-US" w:eastAsia="en-US"/>
        </w:rPr>
        <w:t xml:space="preserve">, antenna pointing accuracy requirements and monitoring. </w:t>
      </w:r>
    </w:p>
    <w:p w14:paraId="2087C327" w14:textId="5583ABBF" w:rsidR="00E0783E" w:rsidRPr="009367CC" w:rsidRDefault="00E0783E" w:rsidP="00C13EE3">
      <w:pPr>
        <w:pStyle w:val="Text"/>
        <w:rPr>
          <w:rFonts w:eastAsiaTheme="minorEastAsia" w:cs="v5.0.0"/>
          <w:sz w:val="20"/>
          <w:lang w:val="en-US" w:eastAsia="en-US"/>
        </w:rPr>
      </w:pPr>
      <w:r>
        <w:rPr>
          <w:rFonts w:eastAsiaTheme="minorEastAsia" w:cs="v5.0.0"/>
          <w:b/>
          <w:bCs/>
          <w:sz w:val="20"/>
          <w:lang w:val="en-US" w:eastAsia="en-US"/>
        </w:rPr>
        <w:t xml:space="preserve">Observation </w:t>
      </w:r>
      <w:r w:rsidR="006F3848">
        <w:rPr>
          <w:rFonts w:eastAsiaTheme="minorEastAsia" w:cs="v5.0.0"/>
          <w:b/>
          <w:bCs/>
          <w:sz w:val="20"/>
          <w:lang w:val="en-US" w:eastAsia="en-US"/>
        </w:rPr>
        <w:t>2</w:t>
      </w:r>
      <w:r>
        <w:rPr>
          <w:rFonts w:eastAsiaTheme="minorEastAsia" w:cs="v5.0.0"/>
          <w:b/>
          <w:bCs/>
          <w:sz w:val="20"/>
          <w:lang w:val="en-US" w:eastAsia="en-US"/>
        </w:rPr>
        <w:t xml:space="preserve">: </w:t>
      </w:r>
      <w:r>
        <w:rPr>
          <w:rFonts w:eastAsiaTheme="minorEastAsia" w:cs="v5.0.0"/>
          <w:sz w:val="20"/>
          <w:lang w:val="en-US" w:eastAsia="en-US"/>
        </w:rPr>
        <w:t>According to the ITU-R, ESIMs operate in the FSS spectrum, owing to their common characteristics with fixed Earth Stations.</w:t>
      </w:r>
    </w:p>
    <w:p w14:paraId="3B81526D" w14:textId="77777777" w:rsidR="00C13EE3" w:rsidRPr="009367CC" w:rsidRDefault="00C13EE3" w:rsidP="00C13EE3">
      <w:pPr>
        <w:pStyle w:val="Text"/>
        <w:rPr>
          <w:rFonts w:eastAsiaTheme="minorEastAsia" w:cs="v5.0.0"/>
          <w:sz w:val="20"/>
          <w:lang w:val="en-US" w:eastAsia="en-US"/>
        </w:rPr>
      </w:pPr>
      <w:r>
        <w:rPr>
          <w:rFonts w:eastAsiaTheme="minorEastAsia" w:cs="v5.0.0"/>
          <w:sz w:val="20"/>
          <w:lang w:val="en-US" w:eastAsia="en-US"/>
        </w:rPr>
        <w:t>For the identification of the “harmonized Ka band” FSS spectrum applicable to ESIMs in particular, t</w:t>
      </w:r>
      <w:r w:rsidRPr="009367CC">
        <w:rPr>
          <w:rFonts w:eastAsiaTheme="minorEastAsia" w:cs="v5.0.0"/>
          <w:sz w:val="20"/>
          <w:lang w:val="en-US" w:eastAsia="en-US"/>
        </w:rPr>
        <w:t>he following two WRC-15 and WRC-19 resolutions can be referred to:</w:t>
      </w:r>
    </w:p>
    <w:p w14:paraId="6B43F40A" w14:textId="77777777" w:rsidR="00C13EE3" w:rsidRPr="009367CC" w:rsidRDefault="00C13EE3" w:rsidP="00C13EE3">
      <w:pPr>
        <w:pStyle w:val="Text"/>
        <w:rPr>
          <w:rFonts w:eastAsiaTheme="minorEastAsia" w:cs="v5.0.0"/>
          <w:sz w:val="20"/>
          <w:lang w:val="en-US" w:eastAsia="en-US"/>
        </w:rPr>
      </w:pPr>
      <w:r w:rsidRPr="009367CC">
        <w:rPr>
          <w:rFonts w:eastAsiaTheme="minorEastAsia" w:cs="v5.0.0"/>
          <w:sz w:val="20"/>
          <w:lang w:val="en-US" w:eastAsia="en-US"/>
        </w:rPr>
        <w:lastRenderedPageBreak/>
        <w:t>- RESOLUTION 156 (WRC-15) – Establishes use of 19.7-20.2 GHz and 29.5-30.0 GHz by earth stations in motion communicating with GSO</w:t>
      </w:r>
    </w:p>
    <w:p w14:paraId="28F618AC" w14:textId="37D6CE97" w:rsidR="00C13EE3" w:rsidRDefault="00C13EE3" w:rsidP="00C13EE3">
      <w:pPr>
        <w:pStyle w:val="Text"/>
        <w:rPr>
          <w:rFonts w:eastAsiaTheme="minorEastAsia" w:cs="v5.0.0"/>
          <w:sz w:val="20"/>
          <w:lang w:val="en-US" w:eastAsia="en-US"/>
        </w:rPr>
      </w:pPr>
      <w:r w:rsidRPr="009367CC">
        <w:rPr>
          <w:rFonts w:eastAsiaTheme="minorEastAsia" w:cs="v5.0.0"/>
          <w:sz w:val="20"/>
          <w:lang w:val="en-US" w:eastAsia="en-US"/>
        </w:rPr>
        <w:t>- RESOLUTION 169 (WRC-19) – Establishes use of 17.7-19.7 GHz and 27.5-29.5 GHz by earth stations in motion communicating with GSO</w:t>
      </w:r>
    </w:p>
    <w:p w14:paraId="46C03AD1" w14:textId="0FD0A386" w:rsidR="005D60C6" w:rsidRPr="005D60C6" w:rsidRDefault="005D60C6" w:rsidP="00C13EE3">
      <w:pPr>
        <w:pStyle w:val="Text"/>
        <w:rPr>
          <w:rFonts w:eastAsiaTheme="minorEastAsia" w:cs="v5.0.0"/>
          <w:sz w:val="20"/>
          <w:lang w:val="en-US" w:eastAsia="en-US"/>
        </w:rPr>
      </w:pPr>
      <w:r>
        <w:rPr>
          <w:rFonts w:eastAsiaTheme="minorEastAsia" w:cs="v5.0.0"/>
          <w:b/>
          <w:bCs/>
          <w:sz w:val="20"/>
          <w:lang w:val="en-US" w:eastAsia="en-US"/>
        </w:rPr>
        <w:t>Observation 3:</w:t>
      </w:r>
      <w:r>
        <w:rPr>
          <w:rFonts w:eastAsiaTheme="minorEastAsia" w:cs="v5.0.0"/>
          <w:sz w:val="20"/>
          <w:lang w:val="en-US" w:eastAsia="en-US"/>
        </w:rPr>
        <w:t xml:space="preserve"> WRC-15 </w:t>
      </w:r>
      <w:r w:rsidR="009A0759" w:rsidRPr="009367CC">
        <w:rPr>
          <w:rFonts w:eastAsiaTheme="minorEastAsia" w:cs="v5.0.0"/>
          <w:sz w:val="20"/>
          <w:lang w:val="en-US" w:eastAsia="en-US"/>
        </w:rPr>
        <w:t xml:space="preserve">RESOLUTION 156 </w:t>
      </w:r>
      <w:r>
        <w:rPr>
          <w:rFonts w:eastAsiaTheme="minorEastAsia" w:cs="v5.0.0"/>
          <w:sz w:val="20"/>
          <w:lang w:val="en-US" w:eastAsia="en-US"/>
        </w:rPr>
        <w:t xml:space="preserve">and WRC-19 </w:t>
      </w:r>
      <w:r w:rsidR="009A0759" w:rsidRPr="009367CC">
        <w:rPr>
          <w:rFonts w:eastAsiaTheme="minorEastAsia" w:cs="v5.0.0"/>
          <w:sz w:val="20"/>
          <w:lang w:val="en-US" w:eastAsia="en-US"/>
        </w:rPr>
        <w:t xml:space="preserve">RESOLUTION 169 </w:t>
      </w:r>
      <w:r>
        <w:rPr>
          <w:rFonts w:eastAsiaTheme="minorEastAsia" w:cs="v5.0.0"/>
          <w:sz w:val="20"/>
          <w:lang w:val="en-US" w:eastAsia="en-US"/>
        </w:rPr>
        <w:t xml:space="preserve">have established the </w:t>
      </w:r>
      <w:r w:rsidR="00987794">
        <w:rPr>
          <w:rFonts w:eastAsiaTheme="minorEastAsia" w:cs="v5.0.0"/>
          <w:sz w:val="20"/>
          <w:lang w:val="en-US" w:eastAsia="en-US"/>
        </w:rPr>
        <w:t>framework for “harmonized Ka band” FSS spectrum applicable to ESIMs in GSO</w:t>
      </w:r>
      <w:r w:rsidR="008A3519">
        <w:rPr>
          <w:rFonts w:eastAsiaTheme="minorEastAsia" w:cs="v5.0.0"/>
          <w:sz w:val="20"/>
          <w:lang w:val="en-US" w:eastAsia="en-US"/>
        </w:rPr>
        <w:t>, jointly encompassing 17.7-20.2 GHz DL (space-to-Earth) and 2</w:t>
      </w:r>
      <w:r w:rsidR="00DA11A8">
        <w:rPr>
          <w:rFonts w:eastAsiaTheme="minorEastAsia" w:cs="v5.0.0"/>
          <w:sz w:val="20"/>
          <w:lang w:val="en-US" w:eastAsia="en-US"/>
        </w:rPr>
        <w:t>7.5-30.0 GHz UL (Earth-to-space)</w:t>
      </w:r>
    </w:p>
    <w:p w14:paraId="1B0BCB2A" w14:textId="48001B27" w:rsidR="00C750CC" w:rsidRDefault="00C13EE3" w:rsidP="00C13EE3">
      <w:pPr>
        <w:pStyle w:val="Text"/>
        <w:rPr>
          <w:rFonts w:eastAsiaTheme="minorEastAsia" w:cs="v5.0.0"/>
          <w:sz w:val="20"/>
          <w:lang w:val="en-US" w:eastAsia="en-US"/>
        </w:rPr>
      </w:pPr>
      <w:r>
        <w:rPr>
          <w:rFonts w:eastAsiaTheme="minorEastAsia" w:cs="v5.0.0"/>
          <w:sz w:val="20"/>
          <w:lang w:val="en-US" w:eastAsia="en-US"/>
        </w:rPr>
        <w:t xml:space="preserve">Further to those resolutions, </w:t>
      </w:r>
      <w:r w:rsidRPr="009367CC">
        <w:rPr>
          <w:rFonts w:eastAsiaTheme="minorEastAsia" w:cs="v5.0.0"/>
          <w:sz w:val="20"/>
          <w:lang w:val="en-US" w:eastAsia="en-US"/>
        </w:rPr>
        <w:t>WRC-23 has in its agenda the discussion of harmonized range</w:t>
      </w:r>
      <w:r>
        <w:rPr>
          <w:rFonts w:eastAsiaTheme="minorEastAsia" w:cs="v5.0.0"/>
          <w:sz w:val="20"/>
          <w:lang w:val="en-US" w:eastAsia="en-US"/>
        </w:rPr>
        <w:t>s</w:t>
      </w:r>
      <w:r w:rsidRPr="009367CC">
        <w:rPr>
          <w:rFonts w:eastAsiaTheme="minorEastAsia" w:cs="v5.0.0"/>
          <w:sz w:val="20"/>
          <w:lang w:val="en-US" w:eastAsia="en-US"/>
        </w:rPr>
        <w:t xml:space="preserve"> for NGSO ESIMs as well.  </w:t>
      </w:r>
      <w:r>
        <w:rPr>
          <w:rFonts w:eastAsiaTheme="minorEastAsia" w:cs="v5.0.0"/>
          <w:sz w:val="20"/>
          <w:lang w:val="en-US" w:eastAsia="en-US"/>
        </w:rPr>
        <w:t>However,</w:t>
      </w:r>
      <w:r w:rsidRPr="009367CC">
        <w:rPr>
          <w:rFonts w:eastAsiaTheme="minorEastAsia" w:cs="v5.0.0"/>
          <w:sz w:val="20"/>
          <w:lang w:val="en-US" w:eastAsia="en-US"/>
        </w:rPr>
        <w:t xml:space="preserve"> at present, NGSO ESIMs are considered out of scope of this WI</w:t>
      </w:r>
      <w:r w:rsidR="00C80A37">
        <w:rPr>
          <w:rFonts w:eastAsiaTheme="minorEastAsia" w:cs="v5.0.0"/>
          <w:sz w:val="20"/>
          <w:lang w:val="en-US" w:eastAsia="en-US"/>
        </w:rPr>
        <w:t>, hence any information is included purely for reference and completeness</w:t>
      </w:r>
      <w:r w:rsidRPr="009367CC">
        <w:rPr>
          <w:rFonts w:eastAsiaTheme="minorEastAsia" w:cs="v5.0.0"/>
          <w:sz w:val="20"/>
          <w:lang w:val="en-US" w:eastAsia="en-US"/>
        </w:rPr>
        <w:t>.</w:t>
      </w:r>
      <w:r w:rsidR="00C750CC">
        <w:rPr>
          <w:rFonts w:eastAsiaTheme="minorEastAsia" w:cs="v5.0.0"/>
          <w:sz w:val="20"/>
          <w:lang w:val="en-US" w:eastAsia="en-US"/>
        </w:rPr>
        <w:t xml:space="preserve"> </w:t>
      </w:r>
    </w:p>
    <w:p w14:paraId="6915C76B" w14:textId="4D824E1B" w:rsidR="00C750CC" w:rsidRDefault="00C750CC" w:rsidP="00C13EE3">
      <w:pPr>
        <w:pStyle w:val="Text"/>
        <w:rPr>
          <w:rFonts w:eastAsiaTheme="minorEastAsia" w:cs="v5.0.0"/>
          <w:sz w:val="20"/>
          <w:lang w:val="en-US" w:eastAsia="en-US"/>
        </w:rPr>
      </w:pPr>
      <w:r>
        <w:rPr>
          <w:rFonts w:eastAsiaTheme="minorEastAsia" w:cs="v5.0.0"/>
          <w:sz w:val="20"/>
          <w:lang w:val="en-US" w:eastAsia="en-US"/>
        </w:rPr>
        <w:t>NGSO FSS fixed Earth Stations, on the other hand, are considered in-scope for this WID.</w:t>
      </w:r>
    </w:p>
    <w:p w14:paraId="1AFB5114" w14:textId="7BE066E7" w:rsidR="00F33FBE" w:rsidRDefault="00F33FBE" w:rsidP="00C13EE3">
      <w:pPr>
        <w:pStyle w:val="Text"/>
        <w:rPr>
          <w:rFonts w:eastAsiaTheme="minorEastAsia" w:cs="v5.0.0"/>
          <w:sz w:val="20"/>
          <w:lang w:val="en-US" w:eastAsia="en-US"/>
        </w:rPr>
      </w:pPr>
      <w:r>
        <w:rPr>
          <w:rFonts w:eastAsiaTheme="minorEastAsia" w:cs="v5.0.0"/>
          <w:b/>
          <w:bCs/>
          <w:sz w:val="20"/>
          <w:lang w:eastAsia="en-US"/>
        </w:rPr>
        <w:t xml:space="preserve">Proposal 1: </w:t>
      </w:r>
      <w:r>
        <w:rPr>
          <w:rFonts w:eastAsiaTheme="minorEastAsia" w:cs="v5.0.0"/>
          <w:sz w:val="20"/>
          <w:lang w:eastAsia="en-US"/>
        </w:rPr>
        <w:t xml:space="preserve">When considering NTN band definitions for Ka band, RAN4 should prioritize the “harmonized Ka band” range defined by </w:t>
      </w:r>
      <w:r>
        <w:rPr>
          <w:rFonts w:eastAsiaTheme="minorEastAsia" w:cs="v5.0.0"/>
          <w:sz w:val="20"/>
          <w:lang w:val="en-US" w:eastAsia="en-US"/>
        </w:rPr>
        <w:t xml:space="preserve">WRC-15 </w:t>
      </w:r>
      <w:r w:rsidRPr="009367CC">
        <w:rPr>
          <w:rFonts w:eastAsiaTheme="minorEastAsia" w:cs="v5.0.0"/>
          <w:sz w:val="20"/>
          <w:lang w:val="en-US" w:eastAsia="en-US"/>
        </w:rPr>
        <w:t xml:space="preserve">RESOLUTION 156 </w:t>
      </w:r>
      <w:r>
        <w:rPr>
          <w:rFonts w:eastAsiaTheme="minorEastAsia" w:cs="v5.0.0"/>
          <w:sz w:val="20"/>
          <w:lang w:val="en-US" w:eastAsia="en-US"/>
        </w:rPr>
        <w:t xml:space="preserve">and WRC-19 </w:t>
      </w:r>
      <w:r w:rsidRPr="009367CC">
        <w:rPr>
          <w:rFonts w:eastAsiaTheme="minorEastAsia" w:cs="v5.0.0"/>
          <w:sz w:val="20"/>
          <w:lang w:val="en-US" w:eastAsia="en-US"/>
        </w:rPr>
        <w:t>RESOLUTION 169</w:t>
      </w:r>
      <w:r>
        <w:rPr>
          <w:rFonts w:eastAsiaTheme="minorEastAsia" w:cs="v5.0.0"/>
          <w:sz w:val="20"/>
          <w:lang w:val="en-US" w:eastAsia="en-US"/>
        </w:rPr>
        <w:t>.</w:t>
      </w:r>
    </w:p>
    <w:p w14:paraId="26C6358C" w14:textId="2FA19EB0" w:rsidR="002F0F03" w:rsidRPr="00740BCD" w:rsidRDefault="002F0F03" w:rsidP="002F0F03">
      <w:pPr>
        <w:pStyle w:val="Heading2"/>
        <w:rPr>
          <w:rFonts w:eastAsia="MS Mincho"/>
        </w:rPr>
      </w:pPr>
      <w:r>
        <w:rPr>
          <w:rFonts w:eastAsia="MS Mincho"/>
        </w:rPr>
        <w:t>FCC Regulation</w:t>
      </w:r>
    </w:p>
    <w:p w14:paraId="4507C7D1" w14:textId="5D8D34D6" w:rsidR="00C13EE3" w:rsidRPr="009A0759" w:rsidRDefault="00C13EE3" w:rsidP="00C13EE3">
      <w:pPr>
        <w:pStyle w:val="Text"/>
        <w:rPr>
          <w:rFonts w:eastAsiaTheme="minorEastAsia" w:cs="v5.0.0"/>
          <w:sz w:val="20"/>
          <w:lang w:val="en-US" w:eastAsia="en-US"/>
        </w:rPr>
      </w:pPr>
      <w:r w:rsidRPr="009367CC">
        <w:rPr>
          <w:rFonts w:eastAsiaTheme="minorEastAsia" w:cs="v5.0.0"/>
          <w:sz w:val="20"/>
          <w:lang w:val="en-US" w:eastAsia="en-US"/>
        </w:rPr>
        <w:t>The FCC defines the Ka</w:t>
      </w:r>
      <w:r>
        <w:rPr>
          <w:rFonts w:eastAsiaTheme="minorEastAsia" w:cs="v5.0.0"/>
          <w:sz w:val="20"/>
          <w:lang w:val="en-US" w:eastAsia="en-US"/>
        </w:rPr>
        <w:t>-</w:t>
      </w:r>
      <w:r w:rsidRPr="009367CC">
        <w:rPr>
          <w:rFonts w:eastAsiaTheme="minorEastAsia" w:cs="v5.0.0"/>
          <w:sz w:val="20"/>
          <w:lang w:val="en-US" w:eastAsia="en-US"/>
        </w:rPr>
        <w:t>band range as well, with two definitions that combined cover virtually the entire harmonized Ka</w:t>
      </w:r>
      <w:r>
        <w:rPr>
          <w:rFonts w:eastAsiaTheme="minorEastAsia" w:cs="v5.0.0"/>
          <w:sz w:val="20"/>
          <w:lang w:val="en-US" w:eastAsia="en-US"/>
        </w:rPr>
        <w:t>-</w:t>
      </w:r>
      <w:r w:rsidRPr="009367CC">
        <w:rPr>
          <w:rFonts w:eastAsiaTheme="minorEastAsia" w:cs="v5.0.0"/>
          <w:sz w:val="20"/>
          <w:lang w:val="en-US" w:eastAsia="en-US"/>
        </w:rPr>
        <w:t>band range.</w:t>
      </w:r>
    </w:p>
    <w:p w14:paraId="77A50831" w14:textId="2ECEC345" w:rsidR="00895649" w:rsidRPr="009A0759" w:rsidRDefault="00E84D2E" w:rsidP="00E72AC0">
      <w:pPr>
        <w:pStyle w:val="Text"/>
        <w:rPr>
          <w:rFonts w:eastAsiaTheme="minorEastAsia" w:cs="v5.0.0"/>
          <w:sz w:val="20"/>
          <w:lang w:val="en-US" w:eastAsia="en-US"/>
        </w:rPr>
      </w:pPr>
      <w:r w:rsidRPr="009A0759">
        <w:rPr>
          <w:rFonts w:eastAsiaTheme="minorEastAsia" w:cs="v5.0.0"/>
          <w:sz w:val="20"/>
          <w:lang w:val="en-US" w:eastAsia="en-US"/>
        </w:rPr>
        <w:t xml:space="preserve">FCC Title 47 </w:t>
      </w:r>
      <w:r w:rsidR="00CF00E5" w:rsidRPr="009A0759">
        <w:rPr>
          <w:rFonts w:eastAsiaTheme="minorEastAsia" w:cs="v5.0.0"/>
          <w:sz w:val="20"/>
          <w:lang w:val="en-US" w:eastAsia="en-US"/>
        </w:rPr>
        <w:t>- CFR § 25.103</w:t>
      </w:r>
      <w:r w:rsidR="00D802B6" w:rsidRPr="009A0759">
        <w:rPr>
          <w:rFonts w:eastAsiaTheme="minorEastAsia" w:cs="v5.0.0"/>
          <w:sz w:val="20"/>
          <w:lang w:val="en-US" w:eastAsia="en-US"/>
        </w:rPr>
        <w:t xml:space="preserve"> defines</w:t>
      </w:r>
      <w:r w:rsidR="00B61FEA" w:rsidRPr="009A0759">
        <w:rPr>
          <w:rFonts w:eastAsiaTheme="minorEastAsia" w:cs="v5.0.0"/>
          <w:sz w:val="20"/>
          <w:lang w:val="en-US" w:eastAsia="en-US"/>
        </w:rPr>
        <w:t xml:space="preserve"> “Conventional Ka-band”</w:t>
      </w:r>
      <w:r w:rsidR="00D802B6" w:rsidRPr="009A0759">
        <w:rPr>
          <w:rFonts w:eastAsiaTheme="minorEastAsia" w:cs="v5.0.0"/>
          <w:sz w:val="20"/>
          <w:lang w:val="en-US" w:eastAsia="en-US"/>
        </w:rPr>
        <w:t>:</w:t>
      </w:r>
    </w:p>
    <w:p w14:paraId="7ED93138" w14:textId="77777777" w:rsidR="00B61FEA" w:rsidRPr="00581BCB" w:rsidRDefault="00B61FEA" w:rsidP="00E72AC0">
      <w:pPr>
        <w:pStyle w:val="Text"/>
        <w:rPr>
          <w:rFonts w:eastAsiaTheme="minorEastAsia" w:cs="v5.0.0"/>
          <w:sz w:val="20"/>
          <w:lang w:val="en-US" w:eastAsia="en-US"/>
        </w:rPr>
      </w:pPr>
      <w:r w:rsidRPr="00581BCB">
        <w:rPr>
          <w:noProof/>
          <w:sz w:val="20"/>
          <w:lang w:val="fr-FR"/>
        </w:rPr>
        <w:drawing>
          <wp:inline distT="0" distB="0" distL="0" distR="0" wp14:anchorId="682873E5" wp14:editId="1E981237">
            <wp:extent cx="6122035" cy="294005"/>
            <wp:effectExtent l="38100" t="38100" r="88265" b="8699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BEBA8EAE-BF5A-486C-A8C5-ECC9F3942E4B}">
                          <a14:imgProps xmlns:a14="http://schemas.microsoft.com/office/drawing/2010/main">
                            <a14:imgLayer r:embed="rId14">
                              <a14:imgEffect>
                                <a14:sharpenSoften amount="50000"/>
                              </a14:imgEffect>
                            </a14:imgLayer>
                          </a14:imgProps>
                        </a:ext>
                      </a:extLst>
                    </a:blip>
                    <a:stretch>
                      <a:fillRect/>
                    </a:stretch>
                  </pic:blipFill>
                  <pic:spPr>
                    <a:xfrm>
                      <a:off x="0" y="0"/>
                      <a:ext cx="6122035" cy="294005"/>
                    </a:xfrm>
                    <a:prstGeom prst="rect">
                      <a:avLst/>
                    </a:prstGeom>
                    <a:effectLst>
                      <a:outerShdw blurRad="50800" dist="38100" dir="2700000" algn="tl" rotWithShape="0">
                        <a:prstClr val="black">
                          <a:alpha val="40000"/>
                        </a:prstClr>
                      </a:outerShdw>
                    </a:effectLst>
                  </pic:spPr>
                </pic:pic>
              </a:graphicData>
            </a:graphic>
          </wp:inline>
        </w:drawing>
      </w:r>
    </w:p>
    <w:p w14:paraId="1F04B505" w14:textId="75E9C03B" w:rsidR="00D802B6" w:rsidRPr="009A0759" w:rsidRDefault="001350D6" w:rsidP="00E72AC0">
      <w:pPr>
        <w:pStyle w:val="Text"/>
        <w:rPr>
          <w:rFonts w:eastAsiaTheme="minorEastAsia" w:cs="v5.0.0"/>
          <w:sz w:val="20"/>
          <w:lang w:val="en-US" w:eastAsia="en-US"/>
        </w:rPr>
      </w:pPr>
      <w:r w:rsidRPr="00581BCB">
        <w:rPr>
          <w:rFonts w:eastAsiaTheme="minorEastAsia" w:cs="v5.0.0"/>
          <w:sz w:val="20"/>
          <w:lang w:val="en-US" w:eastAsia="en-US"/>
        </w:rPr>
        <w:t xml:space="preserve">Furthermore, with FCC Notice FCC-20-158, the FCC introduces </w:t>
      </w:r>
      <w:r w:rsidR="00F41387" w:rsidRPr="00581BCB">
        <w:rPr>
          <w:rFonts w:eastAsiaTheme="minorEastAsia" w:cs="v5.0.0"/>
          <w:sz w:val="20"/>
          <w:lang w:val="en-US" w:eastAsia="en-US"/>
        </w:rPr>
        <w:t>the remainder of the Ka</w:t>
      </w:r>
      <w:r w:rsidR="00AB4FE9">
        <w:rPr>
          <w:rFonts w:eastAsiaTheme="minorEastAsia" w:cs="v5.0.0"/>
          <w:sz w:val="20"/>
          <w:lang w:val="en-US" w:eastAsia="en-US"/>
        </w:rPr>
        <w:t>-</w:t>
      </w:r>
      <w:r w:rsidR="00F41387" w:rsidRPr="009A0759">
        <w:rPr>
          <w:rFonts w:eastAsiaTheme="minorEastAsia" w:cs="v5.0.0"/>
          <w:sz w:val="20"/>
          <w:lang w:val="en-US" w:eastAsia="en-US"/>
        </w:rPr>
        <w:t>band range and extends the blanket licensing as follows:</w:t>
      </w:r>
    </w:p>
    <w:p w14:paraId="184E3FD3" w14:textId="740D2F6A" w:rsidR="00C13EE3" w:rsidRPr="00581BCB" w:rsidRDefault="00B3364C" w:rsidP="00E72AC0">
      <w:pPr>
        <w:pStyle w:val="Text"/>
        <w:rPr>
          <w:rFonts w:eastAsiaTheme="minorEastAsia" w:cs="v5.0.0"/>
          <w:sz w:val="20"/>
          <w:lang w:val="en-US" w:eastAsia="en-US"/>
        </w:rPr>
      </w:pPr>
      <w:r w:rsidRPr="00581BCB">
        <w:rPr>
          <w:noProof/>
          <w:sz w:val="20"/>
          <w:lang w:val="fr-FR"/>
        </w:rPr>
        <w:drawing>
          <wp:inline distT="0" distB="0" distL="0" distR="0" wp14:anchorId="4EC1F154" wp14:editId="6B0AD7DB">
            <wp:extent cx="6122035" cy="1022350"/>
            <wp:effectExtent l="38100" t="38100" r="88265" b="10160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6122035" cy="1022350"/>
                    </a:xfrm>
                    <a:prstGeom prst="rect">
                      <a:avLst/>
                    </a:prstGeom>
                    <a:effectLst>
                      <a:outerShdw blurRad="50800" dist="38100" dir="2700000" algn="tl" rotWithShape="0">
                        <a:prstClr val="black">
                          <a:alpha val="40000"/>
                        </a:prstClr>
                      </a:outerShdw>
                    </a:effectLst>
                  </pic:spPr>
                </pic:pic>
              </a:graphicData>
            </a:graphic>
          </wp:inline>
        </w:drawing>
      </w:r>
    </w:p>
    <w:p w14:paraId="32837ED5" w14:textId="174F5347" w:rsidR="00F41387" w:rsidRPr="00581BCB" w:rsidRDefault="00E67A6E" w:rsidP="00E72AC0">
      <w:pPr>
        <w:pStyle w:val="Text"/>
        <w:rPr>
          <w:rFonts w:eastAsiaTheme="minorEastAsia" w:cs="v5.0.0"/>
          <w:sz w:val="20"/>
          <w:lang w:val="en-US" w:eastAsia="en-US"/>
        </w:rPr>
      </w:pPr>
      <w:r w:rsidRPr="00581BCB">
        <w:rPr>
          <w:noProof/>
          <w:sz w:val="20"/>
          <w:lang w:val="fr-FR"/>
        </w:rPr>
        <w:drawing>
          <wp:inline distT="0" distB="0" distL="0" distR="0" wp14:anchorId="58E1BA01" wp14:editId="4034D491">
            <wp:extent cx="6122035" cy="356235"/>
            <wp:effectExtent l="38100" t="38100" r="88265" b="1009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356235"/>
                    </a:xfrm>
                    <a:prstGeom prst="rect">
                      <a:avLst/>
                    </a:prstGeom>
                    <a:effectLst>
                      <a:outerShdw blurRad="50800" dist="38100" dir="2700000" algn="tl" rotWithShape="0">
                        <a:prstClr val="black">
                          <a:alpha val="40000"/>
                        </a:prstClr>
                      </a:outerShdw>
                    </a:effectLst>
                  </pic:spPr>
                </pic:pic>
              </a:graphicData>
            </a:graphic>
          </wp:inline>
        </w:drawing>
      </w:r>
    </w:p>
    <w:p w14:paraId="39BD3BAA" w14:textId="44C1AE79" w:rsidR="00E67A6E" w:rsidRPr="00581BCB" w:rsidRDefault="00E67A6E" w:rsidP="00E67A6E">
      <w:pPr>
        <w:pStyle w:val="Text"/>
        <w:rPr>
          <w:rFonts w:eastAsiaTheme="minorEastAsia" w:cs="v5.0.0"/>
          <w:i/>
          <w:iCs/>
          <w:sz w:val="20"/>
          <w:lang w:val="en-US" w:eastAsia="en-US"/>
        </w:rPr>
      </w:pPr>
      <w:r w:rsidRPr="00581BCB">
        <w:rPr>
          <w:rFonts w:eastAsiaTheme="minorEastAsia" w:cs="v5.0.0"/>
          <w:i/>
          <w:iCs/>
          <w:sz w:val="20"/>
          <w:lang w:val="en-US" w:eastAsia="en-US"/>
        </w:rPr>
        <w:t>--continues into next page—</w:t>
      </w:r>
    </w:p>
    <w:p w14:paraId="5D0920EA" w14:textId="360879E9" w:rsidR="00E67A6E" w:rsidRDefault="00A014ED" w:rsidP="00E67A6E">
      <w:pPr>
        <w:pStyle w:val="Text"/>
        <w:rPr>
          <w:rFonts w:eastAsiaTheme="minorEastAsia" w:cs="v5.0.0"/>
          <w:i/>
          <w:iCs/>
          <w:sz w:val="20"/>
          <w:lang w:val="en-US" w:eastAsia="en-US"/>
        </w:rPr>
      </w:pPr>
      <w:r w:rsidRPr="00581BCB">
        <w:rPr>
          <w:noProof/>
          <w:sz w:val="20"/>
          <w:lang w:val="fr-FR"/>
        </w:rPr>
        <w:lastRenderedPageBreak/>
        <w:drawing>
          <wp:inline distT="0" distB="0" distL="0" distR="0" wp14:anchorId="429BC05B" wp14:editId="03391155">
            <wp:extent cx="6122035" cy="3064510"/>
            <wp:effectExtent l="38100" t="38100" r="88265" b="977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64510"/>
                    </a:xfrm>
                    <a:prstGeom prst="rect">
                      <a:avLst/>
                    </a:prstGeom>
                    <a:effectLst>
                      <a:outerShdw blurRad="50800" dist="38100" dir="2700000" algn="tl" rotWithShape="0">
                        <a:prstClr val="black">
                          <a:alpha val="40000"/>
                        </a:prstClr>
                      </a:outerShdw>
                    </a:effectLst>
                  </pic:spPr>
                </pic:pic>
              </a:graphicData>
            </a:graphic>
          </wp:inline>
        </w:drawing>
      </w:r>
    </w:p>
    <w:p w14:paraId="7E39B6DC" w14:textId="7596582C" w:rsidR="00C13EE3" w:rsidRPr="009A0759" w:rsidRDefault="00C13EE3" w:rsidP="00E67A6E">
      <w:pPr>
        <w:pStyle w:val="Text"/>
        <w:rPr>
          <w:rFonts w:eastAsiaTheme="minorEastAsia" w:cs="v5.0.0"/>
          <w:sz w:val="20"/>
          <w:lang w:val="en-US" w:eastAsia="en-US"/>
        </w:rPr>
      </w:pPr>
      <w:r>
        <w:rPr>
          <w:rFonts w:eastAsiaTheme="minorEastAsia" w:cs="v5.0.0"/>
          <w:b/>
          <w:bCs/>
          <w:sz w:val="20"/>
          <w:lang w:val="en-US" w:eastAsia="en-US"/>
        </w:rPr>
        <w:t>Observation</w:t>
      </w:r>
      <w:r w:rsidR="0055048E">
        <w:rPr>
          <w:rFonts w:eastAsiaTheme="minorEastAsia" w:cs="v5.0.0"/>
          <w:b/>
          <w:bCs/>
          <w:sz w:val="20"/>
          <w:lang w:val="en-US" w:eastAsia="en-US"/>
        </w:rPr>
        <w:t xml:space="preserve"> </w:t>
      </w:r>
      <w:r w:rsidR="00DA11A8">
        <w:rPr>
          <w:rFonts w:eastAsiaTheme="minorEastAsia" w:cs="v5.0.0"/>
          <w:b/>
          <w:bCs/>
          <w:sz w:val="20"/>
          <w:lang w:val="en-US" w:eastAsia="en-US"/>
        </w:rPr>
        <w:t>4</w:t>
      </w:r>
      <w:r>
        <w:rPr>
          <w:rFonts w:eastAsiaTheme="minorEastAsia" w:cs="v5.0.0"/>
          <w:b/>
          <w:bCs/>
          <w:sz w:val="20"/>
          <w:lang w:val="en-US" w:eastAsia="en-US"/>
        </w:rPr>
        <w:t xml:space="preserve">: </w:t>
      </w:r>
      <w:r>
        <w:rPr>
          <w:rFonts w:eastAsiaTheme="minorEastAsia" w:cs="v5.0.0"/>
          <w:sz w:val="20"/>
          <w:lang w:val="en-US" w:eastAsia="en-US"/>
        </w:rPr>
        <w:t>when considering the FCC definition of “Conventional Ka band” and “Extended Ka ban</w:t>
      </w:r>
      <w:r w:rsidR="00E0783E">
        <w:rPr>
          <w:rFonts w:eastAsiaTheme="minorEastAsia" w:cs="v5.0.0"/>
          <w:sz w:val="20"/>
          <w:lang w:val="en-US" w:eastAsia="en-US"/>
        </w:rPr>
        <w:t>d</w:t>
      </w:r>
      <w:r>
        <w:rPr>
          <w:rFonts w:eastAsiaTheme="minorEastAsia" w:cs="v5.0.0"/>
          <w:sz w:val="20"/>
          <w:lang w:val="en-US" w:eastAsia="en-US"/>
        </w:rPr>
        <w:t>”, the UL (Earth-to-space) range recognized by the FCC for FSS, particularly GSO FSS, effectively fully includes the whole harmonized Ka band UL range of 27.5-30.0 GHz.  As the recognized band segments of 27.5-28.35 GHz, 28.35-28.6 GHz, 28.6-29.1 GHz and 29.25-30.0 GHz</w:t>
      </w:r>
    </w:p>
    <w:p w14:paraId="2659B54E" w14:textId="43DD3E60" w:rsidR="00A87E0A" w:rsidRDefault="00A87E0A" w:rsidP="00E72AC0">
      <w:pPr>
        <w:pStyle w:val="Text"/>
        <w:rPr>
          <w:rFonts w:eastAsiaTheme="minorEastAsia" w:cs="v5.0.0"/>
          <w:sz w:val="20"/>
          <w:lang w:val="en-US" w:eastAsia="en-US"/>
        </w:rPr>
      </w:pPr>
      <w:r w:rsidRPr="00581BCB">
        <w:rPr>
          <w:rFonts w:eastAsiaTheme="minorEastAsia" w:cs="v5.0.0"/>
          <w:sz w:val="20"/>
          <w:lang w:val="en-US" w:eastAsia="en-US"/>
        </w:rPr>
        <w:t>The rulemakings above are further consolidated in the FCC document named “FCC FACT SHEET* 17 GHz GSO FSS R&amp;O/NGSO NPRM”.</w:t>
      </w:r>
    </w:p>
    <w:p w14:paraId="19AEBFCB" w14:textId="58B4B350" w:rsidR="00C13EE3" w:rsidRPr="00581BCB" w:rsidRDefault="00C13EE3" w:rsidP="00E72AC0">
      <w:pPr>
        <w:pStyle w:val="Text"/>
        <w:rPr>
          <w:rFonts w:eastAsiaTheme="minorEastAsia" w:cs="v5.0.0"/>
          <w:sz w:val="20"/>
          <w:lang w:val="en-US" w:eastAsia="en-US"/>
        </w:rPr>
      </w:pPr>
      <w:r>
        <w:rPr>
          <w:rFonts w:eastAsiaTheme="minorEastAsia" w:cs="v5.0.0"/>
          <w:sz w:val="20"/>
          <w:lang w:val="en-US" w:eastAsia="en-US"/>
        </w:rPr>
        <w:t>It must be noted that the 19.4-19.6 GHz space-to-earth sub-segment is outside of the blanket licensing due to its use for feeder links of sub-6 GHz MSS services (e.g. Iridium), and therefore is subject to coordination.</w:t>
      </w:r>
    </w:p>
    <w:p w14:paraId="28A6974B" w14:textId="2190CD20" w:rsidR="00ED1701" w:rsidRPr="00581BCB" w:rsidRDefault="00DC45CF" w:rsidP="00E72AC0">
      <w:pPr>
        <w:pStyle w:val="Text"/>
        <w:rPr>
          <w:rFonts w:eastAsiaTheme="minorEastAsia" w:cs="v5.0.0"/>
          <w:sz w:val="20"/>
          <w:lang w:val="en-US" w:eastAsia="en-US"/>
        </w:rPr>
      </w:pPr>
      <w:r w:rsidRPr="00581BCB">
        <w:rPr>
          <w:rFonts w:eastAsiaTheme="minorEastAsia" w:cs="v5.0.0"/>
          <w:sz w:val="20"/>
          <w:lang w:val="en-US" w:eastAsia="en-US"/>
        </w:rPr>
        <w:t xml:space="preserve">Specific to the 27.5-28.35 GHz range, the FCC establishes rules of operation </w:t>
      </w:r>
      <w:r w:rsidR="0005601F" w:rsidRPr="00581BCB">
        <w:rPr>
          <w:rFonts w:eastAsiaTheme="minorEastAsia" w:cs="v5.0.0"/>
          <w:sz w:val="20"/>
          <w:lang w:val="en-US" w:eastAsia="en-US"/>
        </w:rPr>
        <w:t xml:space="preserve">for Earth Stations </w:t>
      </w:r>
      <w:r w:rsidRPr="00581BCB">
        <w:rPr>
          <w:rFonts w:eastAsiaTheme="minorEastAsia" w:cs="v5.0.0"/>
          <w:sz w:val="20"/>
          <w:lang w:val="en-US" w:eastAsia="en-US"/>
        </w:rPr>
        <w:t xml:space="preserve">in FCC Title 47 </w:t>
      </w:r>
      <w:r w:rsidR="00BF7F65" w:rsidRPr="00581BCB">
        <w:rPr>
          <w:rFonts w:eastAsiaTheme="minorEastAsia" w:cs="v5.0.0"/>
          <w:sz w:val="20"/>
          <w:lang w:val="en-US" w:eastAsia="en-US"/>
        </w:rPr>
        <w:t>CFR § 25.136:</w:t>
      </w:r>
    </w:p>
    <w:p w14:paraId="45B063F6" w14:textId="7549F505" w:rsidR="00BF7F65" w:rsidRPr="00581BCB" w:rsidRDefault="006A0B8B" w:rsidP="00E72AC0">
      <w:pPr>
        <w:pStyle w:val="Text"/>
        <w:rPr>
          <w:rFonts w:eastAsiaTheme="minorEastAsia" w:cs="v5.0.0"/>
          <w:sz w:val="20"/>
          <w:lang w:val="en-US" w:eastAsia="en-US"/>
        </w:rPr>
      </w:pPr>
      <w:r w:rsidRPr="00581BCB">
        <w:rPr>
          <w:noProof/>
          <w:sz w:val="20"/>
          <w:lang w:val="fr-FR"/>
        </w:rPr>
        <w:drawing>
          <wp:inline distT="0" distB="0" distL="0" distR="0" wp14:anchorId="3149BE79" wp14:editId="4775AF5D">
            <wp:extent cx="6122035" cy="2753995"/>
            <wp:effectExtent l="38100" t="38100" r="88265" b="1035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753995"/>
                    </a:xfrm>
                    <a:prstGeom prst="rect">
                      <a:avLst/>
                    </a:prstGeom>
                    <a:effectLst>
                      <a:outerShdw blurRad="50800" dist="38100" dir="2700000" algn="tl" rotWithShape="0">
                        <a:prstClr val="black">
                          <a:alpha val="40000"/>
                        </a:prstClr>
                      </a:outerShdw>
                    </a:effectLst>
                  </pic:spPr>
                </pic:pic>
              </a:graphicData>
            </a:graphic>
          </wp:inline>
        </w:drawing>
      </w:r>
    </w:p>
    <w:p w14:paraId="7FF52651" w14:textId="79BFDE93" w:rsidR="00AC42FF" w:rsidRPr="00581BCB" w:rsidRDefault="0005601F" w:rsidP="00E72AC0">
      <w:pPr>
        <w:pStyle w:val="Text"/>
        <w:rPr>
          <w:rFonts w:eastAsiaTheme="minorEastAsia" w:cs="v5.0.0"/>
          <w:sz w:val="20"/>
          <w:lang w:val="en-US" w:eastAsia="en-US"/>
        </w:rPr>
      </w:pPr>
      <w:r w:rsidRPr="00581BCB">
        <w:rPr>
          <w:rFonts w:eastAsiaTheme="minorEastAsia" w:cs="v5.0.0"/>
          <w:sz w:val="20"/>
          <w:lang w:val="en-US" w:eastAsia="en-US"/>
        </w:rPr>
        <w:t xml:space="preserve">But nonetheless authorizes their operation, albeit with specific </w:t>
      </w:r>
      <w:r w:rsidR="00CE4457" w:rsidRPr="00581BCB">
        <w:rPr>
          <w:rFonts w:eastAsiaTheme="minorEastAsia" w:cs="v5.0.0"/>
          <w:sz w:val="20"/>
          <w:lang w:val="en-US" w:eastAsia="en-US"/>
        </w:rPr>
        <w:t>limits</w:t>
      </w:r>
      <w:r w:rsidR="00AC42FF" w:rsidRPr="00581BCB">
        <w:rPr>
          <w:rFonts w:eastAsiaTheme="minorEastAsia" w:cs="v5.0.0"/>
          <w:sz w:val="20"/>
          <w:lang w:val="en-US" w:eastAsia="en-US"/>
        </w:rPr>
        <w:t>, and further, FCC Title 47, CFR § 25.202 recognizes:</w:t>
      </w:r>
    </w:p>
    <w:p w14:paraId="7D76676C" w14:textId="697024DF" w:rsidR="00C13EE3" w:rsidRDefault="00AC42FF" w:rsidP="006F3972">
      <w:pPr>
        <w:pStyle w:val="Text"/>
        <w:rPr>
          <w:rFonts w:eastAsiaTheme="minorEastAsia" w:cs="v5.0.0"/>
          <w:sz w:val="20"/>
          <w:lang w:val="en-US" w:eastAsia="en-US"/>
        </w:rPr>
      </w:pPr>
      <w:r w:rsidRPr="00581BCB">
        <w:rPr>
          <w:noProof/>
          <w:lang w:val="fr-FR"/>
        </w:rPr>
        <w:lastRenderedPageBreak/>
        <w:drawing>
          <wp:inline distT="0" distB="0" distL="0" distR="0" wp14:anchorId="414F996A" wp14:editId="49F91A4C">
            <wp:extent cx="6122035" cy="1563370"/>
            <wp:effectExtent l="38100" t="38100" r="88265" b="93980"/>
            <wp:docPr id="10" name="Picture 1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10;&#10;Description automatically generated"/>
                    <pic:cNvPicPr/>
                  </pic:nvPicPr>
                  <pic:blipFill>
                    <a:blip r:embed="rId19"/>
                    <a:stretch>
                      <a:fillRect/>
                    </a:stretch>
                  </pic:blipFill>
                  <pic:spPr>
                    <a:xfrm>
                      <a:off x="0" y="0"/>
                      <a:ext cx="6122035" cy="1563370"/>
                    </a:xfrm>
                    <a:prstGeom prst="rect">
                      <a:avLst/>
                    </a:prstGeom>
                    <a:effectLst>
                      <a:outerShdw blurRad="50800" dist="38100" dir="2700000" algn="tl" rotWithShape="0">
                        <a:prstClr val="black">
                          <a:alpha val="40000"/>
                        </a:prstClr>
                      </a:outerShdw>
                    </a:effectLst>
                  </pic:spPr>
                </pic:pic>
              </a:graphicData>
            </a:graphic>
          </wp:inline>
        </w:drawing>
      </w:r>
    </w:p>
    <w:p w14:paraId="62007620" w14:textId="0E480F0F" w:rsidR="006F3972" w:rsidRPr="00581BCB" w:rsidRDefault="00551997" w:rsidP="006F3972">
      <w:pPr>
        <w:pStyle w:val="Text"/>
        <w:rPr>
          <w:rFonts w:eastAsiaTheme="minorEastAsia" w:cs="v5.0.0"/>
          <w:sz w:val="20"/>
          <w:lang w:val="en-US" w:eastAsia="en-US"/>
        </w:rPr>
      </w:pPr>
      <w:r w:rsidRPr="00581BCB">
        <w:rPr>
          <w:rFonts w:eastAsiaTheme="minorEastAsia" w:cs="v5.0.0"/>
          <w:sz w:val="20"/>
          <w:lang w:val="en-US" w:eastAsia="en-US"/>
        </w:rPr>
        <w:t>Specific to ESIMs</w:t>
      </w:r>
      <w:r w:rsidR="00C52684" w:rsidRPr="00581BCB">
        <w:rPr>
          <w:rFonts w:eastAsiaTheme="minorEastAsia" w:cs="v5.0.0"/>
          <w:sz w:val="20"/>
          <w:lang w:val="en-US" w:eastAsia="en-US"/>
        </w:rPr>
        <w:t xml:space="preserve"> in the 27.5-28.35 range</w:t>
      </w:r>
      <w:r w:rsidR="00273233" w:rsidRPr="00581BCB">
        <w:rPr>
          <w:rFonts w:eastAsiaTheme="minorEastAsia" w:cs="v5.0.0"/>
          <w:sz w:val="20"/>
          <w:lang w:val="en-US" w:eastAsia="en-US"/>
        </w:rPr>
        <w:t xml:space="preserve"> and adjacent range starting with 28.35 GHz</w:t>
      </w:r>
      <w:r w:rsidRPr="00581BCB">
        <w:rPr>
          <w:rFonts w:eastAsiaTheme="minorEastAsia" w:cs="v5.0.0"/>
          <w:sz w:val="20"/>
          <w:lang w:val="en-US" w:eastAsia="en-US"/>
        </w:rPr>
        <w:t xml:space="preserve">, </w:t>
      </w:r>
      <w:r w:rsidR="00072117" w:rsidRPr="00581BCB">
        <w:rPr>
          <w:rFonts w:eastAsiaTheme="minorEastAsia" w:cs="v5.0.0"/>
          <w:sz w:val="20"/>
          <w:lang w:val="en-US" w:eastAsia="en-US"/>
        </w:rPr>
        <w:t>FC</w:t>
      </w:r>
      <w:r w:rsidR="006F3972" w:rsidRPr="00581BCB">
        <w:rPr>
          <w:rFonts w:eastAsiaTheme="minorEastAsia" w:cs="v5.0.0"/>
          <w:sz w:val="20"/>
          <w:lang w:val="en-US" w:eastAsia="en-US"/>
        </w:rPr>
        <w:t xml:space="preserve">C </w:t>
      </w:r>
      <w:r w:rsidR="00B80312" w:rsidRPr="00581BCB">
        <w:rPr>
          <w:rFonts w:eastAsiaTheme="minorEastAsia" w:cs="v5.0.0"/>
          <w:sz w:val="20"/>
          <w:lang w:val="en-US" w:eastAsia="en-US"/>
        </w:rPr>
        <w:t>report and order</w:t>
      </w:r>
      <w:r w:rsidR="006F3972" w:rsidRPr="00581BCB">
        <w:rPr>
          <w:rFonts w:eastAsiaTheme="minorEastAsia" w:cs="v5.0.0"/>
          <w:sz w:val="20"/>
          <w:lang w:val="en-US" w:eastAsia="en-US"/>
        </w:rPr>
        <w:t xml:space="preserve"> FCC-20-159</w:t>
      </w:r>
      <w:r w:rsidR="00C52684" w:rsidRPr="00581BCB">
        <w:rPr>
          <w:rFonts w:eastAsiaTheme="minorEastAsia" w:cs="v5.0.0"/>
          <w:sz w:val="20"/>
          <w:lang w:val="en-US" w:eastAsia="en-US"/>
        </w:rPr>
        <w:t xml:space="preserve"> </w:t>
      </w:r>
      <w:r w:rsidR="004427A0" w:rsidRPr="00581BCB">
        <w:rPr>
          <w:rFonts w:eastAsiaTheme="minorEastAsia" w:cs="v5.0.0"/>
          <w:sz w:val="20"/>
          <w:lang w:val="en-US" w:eastAsia="en-US"/>
        </w:rPr>
        <w:t>expresses</w:t>
      </w:r>
      <w:r w:rsidR="00EC197B" w:rsidRPr="00581BCB">
        <w:rPr>
          <w:rFonts w:eastAsiaTheme="minorEastAsia" w:cs="v5.0.0"/>
          <w:sz w:val="20"/>
          <w:lang w:val="en-US" w:eastAsia="en-US"/>
        </w:rPr>
        <w:t>:</w:t>
      </w:r>
    </w:p>
    <w:p w14:paraId="650D8041" w14:textId="4521F829" w:rsidR="00EC197B" w:rsidRPr="00581BCB" w:rsidRDefault="00273233" w:rsidP="006F3972">
      <w:pPr>
        <w:pStyle w:val="Text"/>
        <w:rPr>
          <w:rFonts w:eastAsiaTheme="minorEastAsia" w:cs="v5.0.0"/>
          <w:sz w:val="20"/>
          <w:lang w:val="en-US" w:eastAsia="en-US"/>
        </w:rPr>
      </w:pPr>
      <w:r w:rsidRPr="00581BCB">
        <w:rPr>
          <w:noProof/>
          <w:sz w:val="20"/>
          <w:lang w:val="fr-FR"/>
        </w:rPr>
        <w:drawing>
          <wp:inline distT="0" distB="0" distL="0" distR="0" wp14:anchorId="2E7454AE" wp14:editId="5175E6F6">
            <wp:extent cx="6122035" cy="1350645"/>
            <wp:effectExtent l="38100" t="38100" r="88265" b="97155"/>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20"/>
                    <a:stretch>
                      <a:fillRect/>
                    </a:stretch>
                  </pic:blipFill>
                  <pic:spPr>
                    <a:xfrm>
                      <a:off x="0" y="0"/>
                      <a:ext cx="6122035" cy="1350645"/>
                    </a:xfrm>
                    <a:prstGeom prst="rect">
                      <a:avLst/>
                    </a:prstGeom>
                    <a:effectLst>
                      <a:outerShdw blurRad="50800" dist="38100" dir="2700000" algn="tl" rotWithShape="0">
                        <a:prstClr val="black">
                          <a:alpha val="40000"/>
                        </a:prstClr>
                      </a:outerShdw>
                    </a:effectLst>
                  </pic:spPr>
                </pic:pic>
              </a:graphicData>
            </a:graphic>
          </wp:inline>
        </w:drawing>
      </w:r>
    </w:p>
    <w:p w14:paraId="568B749D" w14:textId="130D5A5F" w:rsidR="00244745" w:rsidRPr="00581BCB" w:rsidRDefault="00812E68" w:rsidP="006F3972">
      <w:pPr>
        <w:pStyle w:val="Text"/>
        <w:rPr>
          <w:rFonts w:eastAsiaTheme="minorEastAsia" w:cs="v5.0.0"/>
          <w:sz w:val="20"/>
          <w:lang w:val="en-US" w:eastAsia="en-US"/>
        </w:rPr>
      </w:pPr>
      <w:r w:rsidRPr="00581BCB">
        <w:rPr>
          <w:noProof/>
          <w:sz w:val="20"/>
          <w:lang w:val="fr-FR"/>
        </w:rPr>
        <w:drawing>
          <wp:inline distT="0" distB="0" distL="0" distR="0" wp14:anchorId="4D2FF114" wp14:editId="4A62AF24">
            <wp:extent cx="6122035" cy="1188085"/>
            <wp:effectExtent l="38100" t="38100" r="88265" b="88265"/>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10;&#10;Description automatically generated"/>
                    <pic:cNvPicPr/>
                  </pic:nvPicPr>
                  <pic:blipFill>
                    <a:blip r:embed="rId21"/>
                    <a:stretch>
                      <a:fillRect/>
                    </a:stretch>
                  </pic:blipFill>
                  <pic:spPr>
                    <a:xfrm>
                      <a:off x="0" y="0"/>
                      <a:ext cx="6122035" cy="1188085"/>
                    </a:xfrm>
                    <a:prstGeom prst="rect">
                      <a:avLst/>
                    </a:prstGeom>
                    <a:effectLst>
                      <a:outerShdw blurRad="50800" dist="38100" dir="2700000" algn="tl" rotWithShape="0">
                        <a:prstClr val="black">
                          <a:alpha val="40000"/>
                        </a:prstClr>
                      </a:outerShdw>
                    </a:effectLst>
                  </pic:spPr>
                </pic:pic>
              </a:graphicData>
            </a:graphic>
          </wp:inline>
        </w:drawing>
      </w:r>
    </w:p>
    <w:p w14:paraId="0250A091" w14:textId="7E8833B2" w:rsidR="00F47D6F" w:rsidRPr="00581BCB" w:rsidRDefault="00F47D6F" w:rsidP="006F3972">
      <w:pPr>
        <w:pStyle w:val="Text"/>
        <w:rPr>
          <w:rFonts w:eastAsiaTheme="minorEastAsia" w:cs="v5.0.0"/>
          <w:sz w:val="20"/>
          <w:lang w:val="en-US" w:eastAsia="en-US"/>
        </w:rPr>
      </w:pPr>
      <w:r w:rsidRPr="00581BCB">
        <w:rPr>
          <w:noProof/>
          <w:sz w:val="20"/>
          <w:lang w:val="fr-FR"/>
        </w:rPr>
        <w:drawing>
          <wp:inline distT="0" distB="0" distL="0" distR="0" wp14:anchorId="4C44A999" wp14:editId="0D3B050C">
            <wp:extent cx="6122035" cy="749935"/>
            <wp:effectExtent l="38100" t="38100" r="88265" b="882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749935"/>
                    </a:xfrm>
                    <a:prstGeom prst="rect">
                      <a:avLst/>
                    </a:prstGeom>
                    <a:effectLst>
                      <a:outerShdw blurRad="50800" dist="38100" dir="2700000" algn="tl" rotWithShape="0">
                        <a:prstClr val="black">
                          <a:alpha val="40000"/>
                        </a:prstClr>
                      </a:outerShdw>
                    </a:effectLst>
                  </pic:spPr>
                </pic:pic>
              </a:graphicData>
            </a:graphic>
          </wp:inline>
        </w:drawing>
      </w:r>
    </w:p>
    <w:p w14:paraId="4A342960" w14:textId="43B71F14" w:rsidR="00036389" w:rsidRPr="00581BCB" w:rsidRDefault="00036389" w:rsidP="006F3972">
      <w:pPr>
        <w:pStyle w:val="Text"/>
        <w:rPr>
          <w:rFonts w:eastAsiaTheme="minorEastAsia" w:cs="v5.0.0"/>
          <w:sz w:val="20"/>
          <w:lang w:val="en-US" w:eastAsia="en-US"/>
        </w:rPr>
      </w:pPr>
      <w:r w:rsidRPr="00581BCB">
        <w:rPr>
          <w:rFonts w:eastAsiaTheme="minorEastAsia" w:cs="v5.0.0"/>
          <w:sz w:val="20"/>
          <w:lang w:val="en-US" w:eastAsia="en-US"/>
        </w:rPr>
        <w:t>For the shared range of 27.5-28.35 GHz, the</w:t>
      </w:r>
      <w:r w:rsidR="0039387F" w:rsidRPr="00581BCB">
        <w:rPr>
          <w:rFonts w:eastAsiaTheme="minorEastAsia" w:cs="v5.0.0"/>
          <w:sz w:val="20"/>
          <w:lang w:val="en-US" w:eastAsia="en-US"/>
        </w:rPr>
        <w:t xml:space="preserve"> FCC does not prevent </w:t>
      </w:r>
      <w:r w:rsidR="0055048E">
        <w:rPr>
          <w:rFonts w:eastAsiaTheme="minorEastAsia" w:cs="v5.0.0"/>
          <w:sz w:val="20"/>
          <w:lang w:val="en-US" w:eastAsia="en-US"/>
        </w:rPr>
        <w:t>E</w:t>
      </w:r>
      <w:r w:rsidR="00B16730" w:rsidRPr="00581BCB">
        <w:rPr>
          <w:rFonts w:eastAsiaTheme="minorEastAsia" w:cs="v5.0.0"/>
          <w:sz w:val="20"/>
          <w:lang w:val="en-US" w:eastAsia="en-US"/>
        </w:rPr>
        <w:t xml:space="preserve">arth </w:t>
      </w:r>
      <w:r w:rsidR="0055048E">
        <w:rPr>
          <w:rFonts w:eastAsiaTheme="minorEastAsia" w:cs="v5.0.0"/>
          <w:sz w:val="20"/>
          <w:lang w:val="en-US" w:eastAsia="en-US"/>
        </w:rPr>
        <w:t>S</w:t>
      </w:r>
      <w:r w:rsidR="00B16730" w:rsidRPr="00581BCB">
        <w:rPr>
          <w:rFonts w:eastAsiaTheme="minorEastAsia" w:cs="v5.0.0"/>
          <w:sz w:val="20"/>
          <w:lang w:val="en-US" w:eastAsia="en-US"/>
        </w:rPr>
        <w:t>tation deployment</w:t>
      </w:r>
      <w:r w:rsidR="0055048E">
        <w:rPr>
          <w:rFonts w:eastAsiaTheme="minorEastAsia" w:cs="v5.0.0"/>
          <w:sz w:val="20"/>
          <w:lang w:val="en-US" w:eastAsia="en-US"/>
        </w:rPr>
        <w:t>, but regulates their operations</w:t>
      </w:r>
      <w:r w:rsidR="00B16730" w:rsidRPr="00581BCB">
        <w:rPr>
          <w:rFonts w:eastAsiaTheme="minorEastAsia" w:cs="v5.0.0"/>
          <w:sz w:val="20"/>
          <w:lang w:val="en-US" w:eastAsia="en-US"/>
        </w:rPr>
        <w:t>:</w:t>
      </w:r>
    </w:p>
    <w:p w14:paraId="099534D5" w14:textId="36D1DC8C" w:rsidR="00B16730" w:rsidRDefault="00B16730" w:rsidP="006F3972">
      <w:pPr>
        <w:pStyle w:val="Text"/>
        <w:rPr>
          <w:rFonts w:eastAsiaTheme="minorEastAsia" w:cs="v5.0.0"/>
          <w:sz w:val="20"/>
          <w:lang w:val="en-US" w:eastAsia="en-US"/>
        </w:rPr>
      </w:pPr>
      <w:r w:rsidRPr="00581BCB">
        <w:rPr>
          <w:noProof/>
          <w:sz w:val="20"/>
          <w:lang w:val="fr-FR"/>
        </w:rPr>
        <w:drawing>
          <wp:inline distT="0" distB="0" distL="0" distR="0" wp14:anchorId="32565574" wp14:editId="7C9E30D0">
            <wp:extent cx="6122035" cy="850900"/>
            <wp:effectExtent l="38100" t="38100" r="88265" b="101600"/>
            <wp:docPr id="15" name="Picture 1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pic:cNvPicPr/>
                  </pic:nvPicPr>
                  <pic:blipFill>
                    <a:blip r:embed="rId23"/>
                    <a:stretch>
                      <a:fillRect/>
                    </a:stretch>
                  </pic:blipFill>
                  <pic:spPr>
                    <a:xfrm>
                      <a:off x="0" y="0"/>
                      <a:ext cx="6122035" cy="850900"/>
                    </a:xfrm>
                    <a:prstGeom prst="rect">
                      <a:avLst/>
                    </a:prstGeom>
                    <a:effectLst>
                      <a:outerShdw blurRad="50800" dist="38100" dir="2700000" algn="tl" rotWithShape="0">
                        <a:prstClr val="black">
                          <a:alpha val="40000"/>
                        </a:prstClr>
                      </a:outerShdw>
                    </a:effectLst>
                  </pic:spPr>
                </pic:pic>
              </a:graphicData>
            </a:graphic>
          </wp:inline>
        </w:drawing>
      </w:r>
    </w:p>
    <w:p w14:paraId="35BCBC1A" w14:textId="0A41350D" w:rsidR="008A6446" w:rsidRDefault="00C13EE3" w:rsidP="006F3972">
      <w:pPr>
        <w:pStyle w:val="Text"/>
        <w:rPr>
          <w:rFonts w:eastAsiaTheme="minorEastAsia" w:cs="v5.0.0"/>
          <w:sz w:val="20"/>
          <w:lang w:val="en-US" w:eastAsia="en-US"/>
        </w:rPr>
      </w:pPr>
      <w:r>
        <w:rPr>
          <w:rFonts w:eastAsiaTheme="minorEastAsia" w:cs="v5.0.0"/>
          <w:b/>
          <w:bCs/>
          <w:sz w:val="20"/>
          <w:lang w:val="en-US" w:eastAsia="en-US"/>
        </w:rPr>
        <w:t>Observation</w:t>
      </w:r>
      <w:r w:rsidR="0055048E">
        <w:rPr>
          <w:rFonts w:eastAsiaTheme="minorEastAsia" w:cs="v5.0.0"/>
          <w:b/>
          <w:bCs/>
          <w:sz w:val="20"/>
          <w:lang w:val="en-US" w:eastAsia="en-US"/>
        </w:rPr>
        <w:t xml:space="preserve"> </w:t>
      </w:r>
      <w:r w:rsidR="00DA11A8">
        <w:rPr>
          <w:rFonts w:eastAsiaTheme="minorEastAsia" w:cs="v5.0.0"/>
          <w:b/>
          <w:bCs/>
          <w:sz w:val="20"/>
          <w:lang w:val="en-US" w:eastAsia="en-US"/>
        </w:rPr>
        <w:t>5</w:t>
      </w:r>
      <w:r>
        <w:rPr>
          <w:rFonts w:eastAsiaTheme="minorEastAsia" w:cs="v5.0.0"/>
          <w:b/>
          <w:bCs/>
          <w:sz w:val="20"/>
          <w:lang w:val="en-US" w:eastAsia="en-US"/>
        </w:rPr>
        <w:t xml:space="preserve">: </w:t>
      </w:r>
      <w:r>
        <w:rPr>
          <w:rFonts w:eastAsiaTheme="minorEastAsia" w:cs="v5.0.0"/>
          <w:sz w:val="20"/>
          <w:lang w:val="en-US" w:eastAsia="en-US"/>
        </w:rPr>
        <w:t>the FCC does in fact not prevent satellite operation in the 27.5-28.35 GHz range, it just regulates it.</w:t>
      </w:r>
    </w:p>
    <w:p w14:paraId="21F0AE4A" w14:textId="6E5D4D7C" w:rsidR="00C13EE3" w:rsidRDefault="00C13EE3" w:rsidP="006F3972">
      <w:pPr>
        <w:pStyle w:val="Text"/>
        <w:rPr>
          <w:rFonts w:eastAsiaTheme="minorEastAsia" w:cs="v5.0.0"/>
          <w:sz w:val="20"/>
          <w:lang w:val="en-US" w:eastAsia="en-US"/>
        </w:rPr>
      </w:pPr>
      <w:r>
        <w:rPr>
          <w:rFonts w:eastAsiaTheme="minorEastAsia" w:cs="v5.0.0"/>
          <w:sz w:val="20"/>
          <w:lang w:val="en-US" w:eastAsia="en-US"/>
        </w:rPr>
        <w:t>The FCC further defines the 17.3-17.7 GHz space-to-Earth range available to satellite FSS, as part of the “extended Ka band”.  This range will likely be of interest for satellite operators, but we consider it with a lower priority compared to the “harmonized Ka band” defined above by WRC, which the 17.3-17.7 GHz range falls outside of.</w:t>
      </w:r>
    </w:p>
    <w:p w14:paraId="0C728F14" w14:textId="367E3BA1" w:rsidR="009A0759" w:rsidRPr="009A0759" w:rsidRDefault="009A0759" w:rsidP="006F3972">
      <w:pPr>
        <w:pStyle w:val="Text"/>
        <w:rPr>
          <w:rFonts w:eastAsiaTheme="minorEastAsia" w:cs="v5.0.0"/>
          <w:sz w:val="20"/>
          <w:lang w:val="en-US" w:eastAsia="en-US"/>
        </w:rPr>
      </w:pPr>
      <w:r>
        <w:rPr>
          <w:rFonts w:eastAsiaTheme="minorEastAsia" w:cs="v5.0.0"/>
          <w:b/>
          <w:bCs/>
          <w:sz w:val="20"/>
          <w:lang w:val="en-US" w:eastAsia="en-US"/>
        </w:rPr>
        <w:lastRenderedPageBreak/>
        <w:t xml:space="preserve">Proposal 2: </w:t>
      </w:r>
      <w:r>
        <w:rPr>
          <w:rFonts w:eastAsiaTheme="minorEastAsia" w:cs="v5.0.0"/>
          <w:sz w:val="20"/>
          <w:lang w:val="en-US" w:eastAsia="en-US"/>
        </w:rPr>
        <w:t xml:space="preserve">When considering the NTN </w:t>
      </w:r>
      <w:r w:rsidR="00793497">
        <w:rPr>
          <w:rFonts w:eastAsiaTheme="minorEastAsia" w:cs="v5.0.0"/>
          <w:sz w:val="20"/>
          <w:lang w:val="en-US" w:eastAsia="en-US"/>
        </w:rPr>
        <w:t xml:space="preserve">FSS </w:t>
      </w:r>
      <w:r>
        <w:rPr>
          <w:rFonts w:eastAsiaTheme="minorEastAsia" w:cs="v5.0.0"/>
          <w:sz w:val="20"/>
          <w:lang w:val="en-US" w:eastAsia="en-US"/>
        </w:rPr>
        <w:t>Ka band range applicable for the US/FCC market,</w:t>
      </w:r>
      <w:r w:rsidR="00793497">
        <w:rPr>
          <w:rFonts w:eastAsiaTheme="minorEastAsia" w:cs="v5.0.0"/>
          <w:sz w:val="20"/>
          <w:lang w:val="en-US" w:eastAsia="en-US"/>
        </w:rPr>
        <w:t xml:space="preserve"> RAN4 should consider FCC’s definitions of “Conventional Ka band” and “Extended Ka band”, and</w:t>
      </w:r>
      <w:r>
        <w:rPr>
          <w:rFonts w:eastAsiaTheme="minorEastAsia" w:cs="v5.0.0"/>
          <w:sz w:val="20"/>
          <w:lang w:val="en-US" w:eastAsia="en-US"/>
        </w:rPr>
        <w:t xml:space="preserve"> the </w:t>
      </w:r>
      <w:r w:rsidR="00793497">
        <w:rPr>
          <w:rFonts w:eastAsiaTheme="minorEastAsia" w:cs="v5.0.0"/>
          <w:sz w:val="20"/>
          <w:lang w:val="en-US" w:eastAsia="en-US"/>
        </w:rPr>
        <w:t>27.5-28.35 GHz should not be excluded</w:t>
      </w:r>
    </w:p>
    <w:p w14:paraId="2A914582" w14:textId="1AF6796D" w:rsidR="00FB0202" w:rsidRPr="008039B4" w:rsidRDefault="00FB0202" w:rsidP="00FB0202">
      <w:pPr>
        <w:pStyle w:val="Text"/>
        <w:rPr>
          <w:rFonts w:eastAsiaTheme="minorEastAsia" w:cs="v5.0.0"/>
          <w:sz w:val="20"/>
          <w:lang w:val="en-US" w:eastAsia="en-US"/>
        </w:rPr>
      </w:pPr>
      <w:r>
        <w:rPr>
          <w:rFonts w:eastAsiaTheme="minorEastAsia" w:cs="v5.0.0"/>
          <w:b/>
          <w:bCs/>
          <w:sz w:val="20"/>
          <w:lang w:val="en-US" w:eastAsia="en-US"/>
        </w:rPr>
        <w:t>Observation</w:t>
      </w:r>
      <w:r w:rsidR="00D2443B">
        <w:rPr>
          <w:rFonts w:eastAsiaTheme="minorEastAsia" w:cs="v5.0.0"/>
          <w:b/>
          <w:bCs/>
          <w:sz w:val="20"/>
          <w:lang w:val="en-US" w:eastAsia="en-US"/>
        </w:rPr>
        <w:t xml:space="preserve"> </w:t>
      </w:r>
      <w:r w:rsidR="00DA11A8">
        <w:rPr>
          <w:rFonts w:eastAsiaTheme="minorEastAsia" w:cs="v5.0.0"/>
          <w:b/>
          <w:bCs/>
          <w:sz w:val="20"/>
          <w:lang w:val="en-US" w:eastAsia="en-US"/>
        </w:rPr>
        <w:t>6</w:t>
      </w:r>
      <w:r>
        <w:rPr>
          <w:rFonts w:eastAsiaTheme="minorEastAsia" w:cs="v5.0.0"/>
          <w:b/>
          <w:bCs/>
          <w:sz w:val="20"/>
          <w:lang w:val="en-US" w:eastAsia="en-US"/>
        </w:rPr>
        <w:t xml:space="preserve">: </w:t>
      </w:r>
      <w:r>
        <w:rPr>
          <w:rFonts w:eastAsiaTheme="minorEastAsia" w:cs="v5.0.0"/>
          <w:sz w:val="20"/>
          <w:lang w:val="en-US" w:eastAsia="en-US"/>
        </w:rPr>
        <w:t>The Ka band FSS space-to-Earth range of 17.3-17.7 GHz could be considered as a future additional NTN band for Ka band</w:t>
      </w:r>
    </w:p>
    <w:p w14:paraId="068694C4" w14:textId="22245BF4" w:rsidR="00FB0202" w:rsidRPr="009A0759" w:rsidRDefault="00FB0202" w:rsidP="006F3972">
      <w:pPr>
        <w:pStyle w:val="Text"/>
        <w:rPr>
          <w:rFonts w:eastAsiaTheme="minorEastAsia" w:cs="v5.0.0"/>
          <w:b/>
          <w:bCs/>
          <w:sz w:val="20"/>
          <w:lang w:val="en-US" w:eastAsia="en-US"/>
        </w:rPr>
      </w:pPr>
    </w:p>
    <w:p w14:paraId="72E92C45" w14:textId="6E2DB6CF" w:rsidR="002F0F03" w:rsidRPr="00740BCD" w:rsidRDefault="002F0F03" w:rsidP="002F0F03">
      <w:pPr>
        <w:pStyle w:val="Heading2"/>
        <w:rPr>
          <w:rFonts w:eastAsia="MS Mincho"/>
        </w:rPr>
      </w:pPr>
      <w:r>
        <w:rPr>
          <w:rFonts w:eastAsia="MS Mincho"/>
        </w:rPr>
        <w:t>Europe (ECC) and CEPT</w:t>
      </w:r>
    </w:p>
    <w:p w14:paraId="6DD2FE47" w14:textId="4654C734" w:rsidR="007A542D" w:rsidRDefault="00150481" w:rsidP="006F3972">
      <w:pPr>
        <w:pStyle w:val="Text"/>
        <w:rPr>
          <w:rFonts w:eastAsiaTheme="minorEastAsia" w:cs="v5.0.0"/>
          <w:sz w:val="20"/>
          <w:lang w:val="en-US" w:eastAsia="en-US"/>
        </w:rPr>
      </w:pPr>
      <w:r>
        <w:rPr>
          <w:rFonts w:eastAsiaTheme="minorEastAsia" w:cs="v5.0.0"/>
          <w:sz w:val="20"/>
          <w:lang w:val="en-US" w:eastAsia="en-US"/>
        </w:rPr>
        <w:t>The European regulatory body (CEPT) has already</w:t>
      </w:r>
      <w:r w:rsidR="002B7252">
        <w:rPr>
          <w:rFonts w:eastAsiaTheme="minorEastAsia" w:cs="v5.0.0"/>
          <w:sz w:val="20"/>
          <w:lang w:val="en-US" w:eastAsia="en-US"/>
        </w:rPr>
        <w:t xml:space="preserve"> sanctioned the operation of </w:t>
      </w:r>
      <w:r w:rsidR="007A542D">
        <w:rPr>
          <w:rFonts w:eastAsiaTheme="minorEastAsia" w:cs="v5.0.0"/>
          <w:sz w:val="20"/>
          <w:lang w:val="en-US" w:eastAsia="en-US"/>
        </w:rPr>
        <w:t>ESOMPs, also known as ESIMs.</w:t>
      </w:r>
    </w:p>
    <w:p w14:paraId="3D6AFF2A" w14:textId="796EC865" w:rsidR="002F0DD4" w:rsidRDefault="002F0DD4" w:rsidP="006F3972">
      <w:pPr>
        <w:pStyle w:val="Text"/>
        <w:rPr>
          <w:rFonts w:eastAsiaTheme="minorEastAsia" w:cs="v5.0.0"/>
          <w:sz w:val="20"/>
          <w:lang w:val="en-US" w:eastAsia="en-US"/>
        </w:rPr>
      </w:pPr>
      <w:r>
        <w:rPr>
          <w:rFonts w:eastAsiaTheme="minorEastAsia" w:cs="v5.0.0"/>
          <w:sz w:val="20"/>
          <w:lang w:val="en-US" w:eastAsia="en-US"/>
        </w:rPr>
        <w:t>Two main documents can be referred to in respect to European regulations for ESIMs/ESOMPs:</w:t>
      </w:r>
    </w:p>
    <w:tbl>
      <w:tblPr>
        <w:tblStyle w:val="TableGrid"/>
        <w:tblW w:w="0" w:type="auto"/>
        <w:tblLook w:val="04A0" w:firstRow="1" w:lastRow="0" w:firstColumn="1" w:lastColumn="0" w:noHBand="0" w:noVBand="1"/>
      </w:tblPr>
      <w:tblGrid>
        <w:gridCol w:w="3210"/>
        <w:gridCol w:w="3210"/>
        <w:gridCol w:w="3211"/>
      </w:tblGrid>
      <w:tr w:rsidR="002F0DD4" w14:paraId="5DF8DC26" w14:textId="77777777" w:rsidTr="002F0DD4">
        <w:tc>
          <w:tcPr>
            <w:tcW w:w="3210" w:type="dxa"/>
          </w:tcPr>
          <w:p w14:paraId="434DCCF6" w14:textId="775F5B0B" w:rsidR="002F0DD4" w:rsidRDefault="002F0DD4" w:rsidP="006F3972">
            <w:pPr>
              <w:pStyle w:val="Text"/>
              <w:rPr>
                <w:rFonts w:eastAsiaTheme="minorEastAsia" w:cs="v5.0.0"/>
                <w:sz w:val="20"/>
                <w:lang w:val="en-US" w:eastAsia="en-US"/>
              </w:rPr>
            </w:pPr>
            <w:r w:rsidRPr="002F0DD4">
              <w:rPr>
                <w:rFonts w:eastAsiaTheme="minorEastAsia" w:cs="v5.0.0"/>
                <w:sz w:val="20"/>
                <w:lang w:val="en-US" w:eastAsia="en-US"/>
              </w:rPr>
              <w:t>ECC Decision (13)01</w:t>
            </w:r>
          </w:p>
        </w:tc>
        <w:tc>
          <w:tcPr>
            <w:tcW w:w="3210" w:type="dxa"/>
          </w:tcPr>
          <w:p w14:paraId="1ABCC041" w14:textId="6CE7CE58" w:rsidR="002F0DD4" w:rsidRDefault="00861DB3" w:rsidP="00861DB3">
            <w:pPr>
              <w:pStyle w:val="Text"/>
              <w:rPr>
                <w:rFonts w:eastAsiaTheme="minorEastAsia" w:cs="v5.0.0"/>
                <w:sz w:val="20"/>
                <w:lang w:val="en-US" w:eastAsia="en-US"/>
              </w:rPr>
            </w:pPr>
            <w:r w:rsidRPr="00861DB3">
              <w:rPr>
                <w:rFonts w:eastAsiaTheme="minorEastAsia" w:cs="v5.0.0"/>
                <w:sz w:val="20"/>
                <w:lang w:val="en-US" w:eastAsia="en-US"/>
              </w:rPr>
              <w:t>The harmonised use, free circulation and exemption from</w:t>
            </w:r>
            <w:r>
              <w:rPr>
                <w:rFonts w:eastAsiaTheme="minorEastAsia" w:cs="v5.0.0"/>
                <w:sz w:val="20"/>
                <w:lang w:val="en-US" w:eastAsia="en-US"/>
              </w:rPr>
              <w:t xml:space="preserve"> </w:t>
            </w:r>
            <w:r w:rsidRPr="00861DB3">
              <w:rPr>
                <w:rFonts w:eastAsiaTheme="minorEastAsia" w:cs="v5.0.0"/>
                <w:sz w:val="20"/>
                <w:lang w:val="en-US" w:eastAsia="en-US"/>
              </w:rPr>
              <w:t>individual licensing of Earth Stations On Mobile Platforms</w:t>
            </w:r>
            <w:r w:rsidR="00882758">
              <w:rPr>
                <w:rFonts w:eastAsiaTheme="minorEastAsia" w:cs="v5.0.0"/>
                <w:sz w:val="20"/>
                <w:lang w:val="en-US" w:eastAsia="en-US"/>
              </w:rPr>
              <w:t xml:space="preserve"> </w:t>
            </w:r>
            <w:r w:rsidRPr="00861DB3">
              <w:rPr>
                <w:rFonts w:eastAsiaTheme="minorEastAsia" w:cs="v5.0.0"/>
                <w:sz w:val="20"/>
                <w:lang w:val="en-US" w:eastAsia="en-US"/>
              </w:rPr>
              <w:t>(ESOMPs) within the frequency bands 17.3-20.2 GHz and</w:t>
            </w:r>
            <w:r>
              <w:rPr>
                <w:rFonts w:eastAsiaTheme="minorEastAsia" w:cs="v5.0.0"/>
                <w:sz w:val="20"/>
                <w:lang w:val="en-US" w:eastAsia="en-US"/>
              </w:rPr>
              <w:t xml:space="preserve"> </w:t>
            </w:r>
            <w:r w:rsidRPr="00861DB3">
              <w:rPr>
                <w:rFonts w:eastAsiaTheme="minorEastAsia" w:cs="v5.0.0"/>
                <w:sz w:val="20"/>
                <w:lang w:val="en-US" w:eastAsia="en-US"/>
              </w:rPr>
              <w:t>27.5-30.0 GHz</w:t>
            </w:r>
          </w:p>
        </w:tc>
        <w:tc>
          <w:tcPr>
            <w:tcW w:w="3211" w:type="dxa"/>
          </w:tcPr>
          <w:p w14:paraId="56282AA5" w14:textId="03FAC18C" w:rsidR="002F0DD4" w:rsidRDefault="00A24F72" w:rsidP="006F3972">
            <w:pPr>
              <w:pStyle w:val="Text"/>
              <w:rPr>
                <w:rFonts w:eastAsiaTheme="minorEastAsia" w:cs="v5.0.0"/>
                <w:sz w:val="20"/>
                <w:lang w:val="en-US" w:eastAsia="en-US"/>
              </w:rPr>
            </w:pPr>
            <w:r>
              <w:rPr>
                <w:rFonts w:eastAsiaTheme="minorEastAsia" w:cs="v5.0.0"/>
                <w:sz w:val="20"/>
                <w:lang w:val="en-US" w:eastAsia="en-US"/>
              </w:rPr>
              <w:t>This decision is limited to ESOMPs in GSO</w:t>
            </w:r>
            <w:r w:rsidR="00A675C3">
              <w:rPr>
                <w:rFonts w:eastAsiaTheme="minorEastAsia" w:cs="v5.0.0"/>
                <w:sz w:val="20"/>
                <w:lang w:val="en-US" w:eastAsia="en-US"/>
              </w:rPr>
              <w:t>, and introduces additional provisos, including PFD restrictions on a case by case basis.</w:t>
            </w:r>
          </w:p>
        </w:tc>
      </w:tr>
      <w:tr w:rsidR="002F0DD4" w14:paraId="06E5D159" w14:textId="77777777" w:rsidTr="002F0DD4">
        <w:tc>
          <w:tcPr>
            <w:tcW w:w="3210" w:type="dxa"/>
          </w:tcPr>
          <w:p w14:paraId="2F228056" w14:textId="03C46491" w:rsidR="002F0DD4" w:rsidRDefault="009B0DDD" w:rsidP="006F3972">
            <w:pPr>
              <w:pStyle w:val="Text"/>
              <w:rPr>
                <w:rFonts w:eastAsiaTheme="minorEastAsia" w:cs="v5.0.0"/>
                <w:sz w:val="20"/>
                <w:lang w:val="en-US" w:eastAsia="en-US"/>
              </w:rPr>
            </w:pPr>
            <w:r w:rsidRPr="009B0DDD">
              <w:rPr>
                <w:rFonts w:eastAsiaTheme="minorEastAsia" w:cs="v5.0.0"/>
                <w:sz w:val="20"/>
                <w:lang w:val="en-US" w:eastAsia="en-US"/>
              </w:rPr>
              <w:t>ECC Decision (15)04</w:t>
            </w:r>
          </w:p>
        </w:tc>
        <w:tc>
          <w:tcPr>
            <w:tcW w:w="3210" w:type="dxa"/>
          </w:tcPr>
          <w:p w14:paraId="59A2379C" w14:textId="7B77884F" w:rsidR="002F0DD4" w:rsidRDefault="00882758" w:rsidP="006F3972">
            <w:pPr>
              <w:pStyle w:val="Text"/>
              <w:rPr>
                <w:rFonts w:eastAsiaTheme="minorEastAsia" w:cs="v5.0.0"/>
                <w:sz w:val="20"/>
                <w:lang w:val="en-US" w:eastAsia="en-US"/>
              </w:rPr>
            </w:pPr>
            <w:r w:rsidRPr="00882758">
              <w:rPr>
                <w:rFonts w:eastAsiaTheme="minorEastAsia" w:cs="v5.0.0"/>
                <w:sz w:val="20"/>
                <w:lang w:eastAsia="en-US"/>
              </w:rPr>
              <w:t>The harmonised use, free circulation and exemption from individual licensing of Land, Maritime and Aeronautical Earth Stations On Mobile Platforms (ESOMPs) operating with NGSO FSS satellite systems in the frequency ranges 17.3-20.2 GHz, 27.5-29.1 GHz and 29.5-30.0 GHz</w:t>
            </w:r>
          </w:p>
        </w:tc>
        <w:tc>
          <w:tcPr>
            <w:tcW w:w="3211" w:type="dxa"/>
          </w:tcPr>
          <w:p w14:paraId="3F3C49BE" w14:textId="0C1DB4C7" w:rsidR="002F0DD4" w:rsidRDefault="00A675C3" w:rsidP="006F3972">
            <w:pPr>
              <w:pStyle w:val="Text"/>
              <w:rPr>
                <w:rFonts w:eastAsiaTheme="minorEastAsia" w:cs="v5.0.0"/>
                <w:sz w:val="20"/>
                <w:lang w:val="en-US" w:eastAsia="en-US"/>
              </w:rPr>
            </w:pPr>
            <w:r>
              <w:rPr>
                <w:rFonts w:eastAsiaTheme="minorEastAsia" w:cs="v5.0.0"/>
                <w:sz w:val="20"/>
                <w:lang w:val="en-US" w:eastAsia="en-US"/>
              </w:rPr>
              <w:t>This decision extends the framework to NGSO ESOMPs and further consolidates provisos for general operation of ESOMPs/ESIMs in Ka band.</w:t>
            </w:r>
          </w:p>
        </w:tc>
      </w:tr>
    </w:tbl>
    <w:p w14:paraId="2A0AC38D" w14:textId="02CF4909" w:rsidR="002F0DD4" w:rsidRDefault="002F0DD4" w:rsidP="006F3972">
      <w:pPr>
        <w:pStyle w:val="Text"/>
        <w:rPr>
          <w:rFonts w:eastAsiaTheme="minorEastAsia" w:cs="v5.0.0"/>
          <w:sz w:val="20"/>
          <w:lang w:val="en-US" w:eastAsia="en-US"/>
        </w:rPr>
      </w:pPr>
    </w:p>
    <w:p w14:paraId="65319963" w14:textId="049ABCA7" w:rsidR="00861DB3" w:rsidRPr="00861DB3" w:rsidRDefault="00861DB3" w:rsidP="006F3972">
      <w:pPr>
        <w:pStyle w:val="Text"/>
        <w:rPr>
          <w:rFonts w:eastAsiaTheme="minorEastAsia" w:cs="v5.0.0"/>
          <w:sz w:val="20"/>
          <w:lang w:val="en-US" w:eastAsia="en-US"/>
        </w:rPr>
      </w:pPr>
      <w:r>
        <w:rPr>
          <w:rFonts w:eastAsiaTheme="minorEastAsia" w:cs="v5.0.0"/>
          <w:b/>
          <w:bCs/>
          <w:sz w:val="20"/>
          <w:lang w:val="en-US" w:eastAsia="en-US"/>
        </w:rPr>
        <w:t>Observation</w:t>
      </w:r>
      <w:r w:rsidR="00A675C3">
        <w:rPr>
          <w:rFonts w:eastAsiaTheme="minorEastAsia" w:cs="v5.0.0"/>
          <w:b/>
          <w:bCs/>
          <w:sz w:val="20"/>
          <w:lang w:val="en-US" w:eastAsia="en-US"/>
        </w:rPr>
        <w:t xml:space="preserve"> </w:t>
      </w:r>
      <w:r w:rsidR="009A0759">
        <w:rPr>
          <w:rFonts w:eastAsiaTheme="minorEastAsia" w:cs="v5.0.0"/>
          <w:b/>
          <w:bCs/>
          <w:sz w:val="20"/>
          <w:lang w:val="en-US" w:eastAsia="en-US"/>
        </w:rPr>
        <w:t>7</w:t>
      </w:r>
      <w:r>
        <w:rPr>
          <w:rFonts w:eastAsiaTheme="minorEastAsia" w:cs="v5.0.0"/>
          <w:b/>
          <w:bCs/>
          <w:sz w:val="20"/>
          <w:lang w:val="en-US" w:eastAsia="en-US"/>
        </w:rPr>
        <w:t xml:space="preserve">: </w:t>
      </w:r>
      <w:r>
        <w:rPr>
          <w:rFonts w:eastAsiaTheme="minorEastAsia" w:cs="v5.0.0"/>
          <w:sz w:val="20"/>
          <w:lang w:val="en-US" w:eastAsia="en-US"/>
        </w:rPr>
        <w:t>The ECC provides a harmonized framework for ESIMs/ESOMPs in Ka band, including the full WRC harmonized Ka band range 17.7-20.2 GHz (DL) and 27.5-30 GHz (UL), plus an additional extension of the DL range including the 17.3-17.7 GHz (DL) range.</w:t>
      </w:r>
    </w:p>
    <w:p w14:paraId="39D82D22" w14:textId="660C16B0" w:rsidR="007A542D" w:rsidRDefault="00210F21" w:rsidP="006F3972">
      <w:pPr>
        <w:pStyle w:val="Text"/>
        <w:rPr>
          <w:rFonts w:eastAsiaTheme="minorEastAsia" w:cs="v5.0.0"/>
          <w:sz w:val="20"/>
          <w:lang w:val="en-US" w:eastAsia="en-US"/>
        </w:rPr>
      </w:pPr>
      <w:r>
        <w:rPr>
          <w:rFonts w:eastAsiaTheme="minorEastAsia" w:cs="v5.0.0"/>
          <w:sz w:val="20"/>
          <w:lang w:val="en-US" w:eastAsia="en-US"/>
        </w:rPr>
        <w:t xml:space="preserve">ECC </w:t>
      </w:r>
      <w:r w:rsidR="00A24F72">
        <w:rPr>
          <w:rFonts w:eastAsiaTheme="minorEastAsia" w:cs="v5.0.0"/>
          <w:sz w:val="20"/>
          <w:lang w:val="en-US" w:eastAsia="en-US"/>
        </w:rPr>
        <w:t xml:space="preserve">also </w:t>
      </w:r>
      <w:r>
        <w:rPr>
          <w:rFonts w:eastAsiaTheme="minorEastAsia" w:cs="v5.0.0"/>
          <w:sz w:val="20"/>
          <w:lang w:val="en-US" w:eastAsia="en-US"/>
        </w:rPr>
        <w:t>provides</w:t>
      </w:r>
      <w:r w:rsidR="00E14BAA">
        <w:rPr>
          <w:rFonts w:eastAsiaTheme="minorEastAsia" w:cs="v5.0.0"/>
          <w:sz w:val="20"/>
          <w:lang w:val="en-US" w:eastAsia="en-US"/>
        </w:rPr>
        <w:t xml:space="preserve">, in </w:t>
      </w:r>
      <w:r w:rsidR="002F0DD4" w:rsidRPr="002F0DD4">
        <w:rPr>
          <w:rFonts w:eastAsiaTheme="minorEastAsia" w:cs="v5.0.0"/>
          <w:sz w:val="20"/>
          <w:lang w:val="en-US" w:eastAsia="en-US"/>
        </w:rPr>
        <w:t>ECC Decision (13)01</w:t>
      </w:r>
      <w:r w:rsidR="002F0DD4">
        <w:rPr>
          <w:rFonts w:eastAsiaTheme="minorEastAsia" w:cs="v5.0.0"/>
          <w:sz w:val="20"/>
          <w:lang w:val="en-US" w:eastAsia="en-US"/>
        </w:rPr>
        <w:t>,</w:t>
      </w:r>
      <w:r>
        <w:rPr>
          <w:rFonts w:eastAsiaTheme="minorEastAsia" w:cs="v5.0.0"/>
          <w:sz w:val="20"/>
          <w:lang w:val="en-US" w:eastAsia="en-US"/>
        </w:rPr>
        <w:t xml:space="preserve"> a definition for ESOMPs/ESIMs that is quite useful and aligns with the ITU-R and WRC definitions:</w:t>
      </w:r>
    </w:p>
    <w:p w14:paraId="0125567C" w14:textId="41A6CECF" w:rsidR="00210F21" w:rsidRPr="009A0759" w:rsidRDefault="00210F21" w:rsidP="006F3972">
      <w:pPr>
        <w:pStyle w:val="Text"/>
        <w:rPr>
          <w:rFonts w:eastAsiaTheme="minorEastAsia" w:cs="v5.0.0"/>
          <w:i/>
          <w:iCs/>
          <w:sz w:val="20"/>
          <w:lang w:val="en-US" w:eastAsia="en-US"/>
        </w:rPr>
      </w:pPr>
      <w:r w:rsidRPr="009A0759">
        <w:rPr>
          <w:rFonts w:eastAsiaTheme="minorEastAsia" w:cs="v5.0.0"/>
          <w:i/>
          <w:iCs/>
          <w:sz w:val="20"/>
          <w:lang w:eastAsia="en-US"/>
        </w:rPr>
        <w:t>“ESOMPs operate in Fixed-Satellite Service (FSS) networks and are terminals with small directional antennas for the provision of broadband communication services. The terminals may be mounted on aircraft, ships or land vehicles or may be transportable devices used in motion or at temporary halts. ESOMPs on aircraft and ships may operate in national airspace and waters,</w:t>
      </w:r>
      <w:r w:rsidR="00A675C3">
        <w:rPr>
          <w:rFonts w:eastAsiaTheme="minorEastAsia" w:cs="v5.0.0"/>
          <w:i/>
          <w:iCs/>
          <w:sz w:val="20"/>
          <w:lang w:eastAsia="en-US"/>
        </w:rPr>
        <w:t xml:space="preserve"> </w:t>
      </w:r>
      <w:r w:rsidRPr="009A0759">
        <w:rPr>
          <w:rFonts w:eastAsiaTheme="minorEastAsia" w:cs="v5.0.0"/>
          <w:i/>
          <w:iCs/>
          <w:sz w:val="20"/>
          <w:lang w:eastAsia="en-US"/>
        </w:rPr>
        <w:t>or may also operate in international airspace and international waters.”</w:t>
      </w:r>
    </w:p>
    <w:p w14:paraId="78B25D01" w14:textId="52945F46" w:rsidR="00210F21" w:rsidRDefault="00862C0E" w:rsidP="006F3972">
      <w:pPr>
        <w:pStyle w:val="Text"/>
        <w:rPr>
          <w:rFonts w:eastAsiaTheme="minorEastAsia" w:cs="v5.0.0"/>
          <w:sz w:val="20"/>
          <w:lang w:val="en-US" w:eastAsia="en-US"/>
        </w:rPr>
      </w:pPr>
      <w:r>
        <w:rPr>
          <w:rFonts w:eastAsiaTheme="minorEastAsia" w:cs="v5.0.0"/>
          <w:b/>
          <w:bCs/>
          <w:sz w:val="20"/>
          <w:lang w:val="en-US" w:eastAsia="en-US"/>
        </w:rPr>
        <w:t>Observation</w:t>
      </w:r>
      <w:r w:rsidR="00A675C3">
        <w:rPr>
          <w:rFonts w:eastAsiaTheme="minorEastAsia" w:cs="v5.0.0"/>
          <w:b/>
          <w:bCs/>
          <w:sz w:val="20"/>
          <w:lang w:val="en-US" w:eastAsia="en-US"/>
        </w:rPr>
        <w:t xml:space="preserve"> </w:t>
      </w:r>
      <w:r w:rsidR="009A0759">
        <w:rPr>
          <w:rFonts w:eastAsiaTheme="minorEastAsia" w:cs="v5.0.0"/>
          <w:b/>
          <w:bCs/>
          <w:sz w:val="20"/>
          <w:lang w:val="en-US" w:eastAsia="en-US"/>
        </w:rPr>
        <w:t>8</w:t>
      </w:r>
      <w:r>
        <w:rPr>
          <w:rFonts w:eastAsiaTheme="minorEastAsia" w:cs="v5.0.0"/>
          <w:b/>
          <w:bCs/>
          <w:sz w:val="20"/>
          <w:lang w:val="en-US" w:eastAsia="en-US"/>
        </w:rPr>
        <w:t xml:space="preserve">: </w:t>
      </w:r>
      <w:r>
        <w:rPr>
          <w:rFonts w:eastAsiaTheme="minorEastAsia" w:cs="v5.0.0"/>
          <w:sz w:val="20"/>
          <w:lang w:val="en-US" w:eastAsia="en-US"/>
        </w:rPr>
        <w:t xml:space="preserve"> The ECC identifies the ability of ESOMPs (aka ESIMs) to operate in the same way as fixed FSS earth stations, and thus to coexist with both other FSS systems, as well as terrestrial systems.</w:t>
      </w:r>
    </w:p>
    <w:p w14:paraId="43E1880D" w14:textId="37FB76CA" w:rsidR="00FA7787" w:rsidRPr="00FA7787" w:rsidRDefault="00862C0E" w:rsidP="006F3972">
      <w:pPr>
        <w:pStyle w:val="Text"/>
        <w:rPr>
          <w:rFonts w:eastAsiaTheme="minorEastAsia" w:cs="v5.0.0"/>
          <w:i/>
          <w:iCs/>
          <w:sz w:val="20"/>
          <w:lang w:eastAsia="en-US"/>
        </w:rPr>
      </w:pPr>
      <w:r w:rsidRPr="009A0759">
        <w:rPr>
          <w:rFonts w:eastAsiaTheme="minorEastAsia" w:cs="v5.0.0"/>
          <w:i/>
          <w:iCs/>
          <w:sz w:val="20"/>
          <w:lang w:eastAsia="en-US"/>
        </w:rPr>
        <w:lastRenderedPageBreak/>
        <w:t>“Studies carried out by the ITU-R (see Report ITU-R S. 2223 [1]) and the CEPT (see ECC Report 217 [2]) have recognised the risk of interference arising from ESOMPs to be no different to that from typical uncoordinated FSS earth stations in parts of the Ka-band identified for uncoordinated FSS operations. This is primarily because of the advanced technology deployed for ESOMPs ensures that all technical criteria set for typical earth stations are also met by ESOMPs. Such technical criteria include, amongst other things, measures to avoid mis-pointing of the terminal antenna. Advanced technology deployed with ESOMPs ensures that stabilised earth station antenna maintains a high degree of pointing accuracy even on rapidly moving platforms, and “closed-loop tracking” and an automatic capability of muting transmission to ensure that transmissions away from the intended space station do not occur. The regulatory framework adopted in these bands to accommodate ESOMPs ensures that it does not prejudice the use of these bands by other FSS (including GSO ESOMPs) and terrestrial applications operating in conformance with other relevant ECC Decisions and the relevant provisions of the Radio Regulations.”</w:t>
      </w:r>
    </w:p>
    <w:p w14:paraId="56CA52CD" w14:textId="119E06D5" w:rsidR="00FA7787" w:rsidRPr="00FA7787" w:rsidRDefault="00FA7787" w:rsidP="006F3972">
      <w:pPr>
        <w:pStyle w:val="Text"/>
        <w:rPr>
          <w:rFonts w:eastAsiaTheme="minorEastAsia" w:cs="v5.0.0"/>
          <w:sz w:val="20"/>
          <w:lang w:eastAsia="en-US"/>
        </w:rPr>
      </w:pPr>
      <w:r>
        <w:rPr>
          <w:rFonts w:eastAsiaTheme="minorEastAsia" w:cs="v5.0.0"/>
          <w:b/>
          <w:bCs/>
          <w:sz w:val="20"/>
          <w:lang w:eastAsia="en-US"/>
        </w:rPr>
        <w:t xml:space="preserve">Proposal 3: </w:t>
      </w:r>
      <w:r>
        <w:rPr>
          <w:rFonts w:eastAsiaTheme="minorEastAsia" w:cs="v5.0.0"/>
          <w:sz w:val="20"/>
          <w:lang w:eastAsia="en-US"/>
        </w:rPr>
        <w:t xml:space="preserve"> When considering future additional NTN band definitions, </w:t>
      </w:r>
      <w:r w:rsidR="002B4BFB">
        <w:rPr>
          <w:rFonts w:eastAsiaTheme="minorEastAsia" w:cs="v5.0.0"/>
          <w:sz w:val="20"/>
          <w:lang w:eastAsia="en-US"/>
        </w:rPr>
        <w:t xml:space="preserve">a </w:t>
      </w:r>
      <w:r w:rsidR="00C80DE8">
        <w:rPr>
          <w:rFonts w:eastAsiaTheme="minorEastAsia" w:cs="v5.0.0"/>
          <w:sz w:val="20"/>
          <w:lang w:eastAsia="en-US"/>
        </w:rPr>
        <w:t xml:space="preserve">DL NTN </w:t>
      </w:r>
      <w:r w:rsidR="002B4BFB">
        <w:rPr>
          <w:rFonts w:eastAsiaTheme="minorEastAsia" w:cs="v5.0.0"/>
          <w:sz w:val="20"/>
          <w:lang w:eastAsia="en-US"/>
        </w:rPr>
        <w:t>band definition encompassing the full DL (space-to-Earth) range defined by ECC/CEPT 17.3-20.2 GHz could be</w:t>
      </w:r>
      <w:r w:rsidR="00C80DE8">
        <w:rPr>
          <w:rFonts w:eastAsiaTheme="minorEastAsia" w:cs="v5.0.0"/>
          <w:sz w:val="20"/>
          <w:lang w:eastAsia="en-US"/>
        </w:rPr>
        <w:t xml:space="preserve"> additionally </w:t>
      </w:r>
      <w:r w:rsidR="002B4BFB">
        <w:rPr>
          <w:rFonts w:eastAsiaTheme="minorEastAsia" w:cs="v5.0.0"/>
          <w:sz w:val="20"/>
          <w:lang w:eastAsia="en-US"/>
        </w:rPr>
        <w:t xml:space="preserve"> considered</w:t>
      </w:r>
    </w:p>
    <w:p w14:paraId="12995934" w14:textId="2036BEF5" w:rsidR="00A675C3" w:rsidRDefault="00A675C3" w:rsidP="006F3972">
      <w:pPr>
        <w:pStyle w:val="Text"/>
        <w:rPr>
          <w:rFonts w:eastAsiaTheme="minorEastAsia" w:cs="v5.0.0"/>
          <w:sz w:val="20"/>
          <w:lang w:eastAsia="en-US"/>
        </w:rPr>
      </w:pPr>
      <w:r>
        <w:rPr>
          <w:rFonts w:eastAsiaTheme="minorEastAsia" w:cs="v5.0.0"/>
          <w:b/>
          <w:bCs/>
          <w:sz w:val="20"/>
          <w:lang w:eastAsia="en-US"/>
        </w:rPr>
        <w:t>Proposal</w:t>
      </w:r>
      <w:r w:rsidR="00F33FBE">
        <w:rPr>
          <w:rFonts w:eastAsiaTheme="minorEastAsia" w:cs="v5.0.0"/>
          <w:b/>
          <w:bCs/>
          <w:sz w:val="20"/>
          <w:lang w:eastAsia="en-US"/>
        </w:rPr>
        <w:t xml:space="preserve"> </w:t>
      </w:r>
      <w:r w:rsidR="00C80DE8">
        <w:rPr>
          <w:rFonts w:eastAsiaTheme="minorEastAsia" w:cs="v5.0.0"/>
          <w:b/>
          <w:bCs/>
          <w:sz w:val="20"/>
          <w:lang w:eastAsia="en-US"/>
        </w:rPr>
        <w:t>4</w:t>
      </w:r>
      <w:r>
        <w:rPr>
          <w:rFonts w:eastAsiaTheme="minorEastAsia" w:cs="v5.0.0"/>
          <w:b/>
          <w:bCs/>
          <w:sz w:val="20"/>
          <w:lang w:eastAsia="en-US"/>
        </w:rPr>
        <w:t xml:space="preserve">: </w:t>
      </w:r>
      <w:r>
        <w:rPr>
          <w:rFonts w:eastAsiaTheme="minorEastAsia" w:cs="v5.0.0"/>
          <w:sz w:val="20"/>
          <w:lang w:eastAsia="en-US"/>
        </w:rPr>
        <w:t xml:space="preserve"> </w:t>
      </w:r>
      <w:r w:rsidR="00567ACF">
        <w:rPr>
          <w:rFonts w:eastAsiaTheme="minorEastAsia" w:cs="v5.0.0"/>
          <w:sz w:val="20"/>
          <w:lang w:eastAsia="en-US"/>
        </w:rPr>
        <w:t xml:space="preserve">On/off-axis emission requirements, pointing accuracy requirements, transmission on/off capability and </w:t>
      </w:r>
      <w:r w:rsidR="009D5A39">
        <w:rPr>
          <w:rFonts w:eastAsiaTheme="minorEastAsia" w:cs="v5.0.0"/>
          <w:sz w:val="20"/>
          <w:lang w:eastAsia="en-US"/>
        </w:rPr>
        <w:t>“closed-loop tracking” of beam pointing should be considered when defining the framework for operation of fixed and moving NTN terminals with VSAT characteristics.</w:t>
      </w:r>
    </w:p>
    <w:p w14:paraId="6F489125" w14:textId="428041B7" w:rsidR="006F7A2D" w:rsidRPr="006F7A2D" w:rsidRDefault="006F7A2D" w:rsidP="006F3972">
      <w:pPr>
        <w:pStyle w:val="Text"/>
        <w:rPr>
          <w:rFonts w:eastAsiaTheme="minorEastAsia" w:cs="v5.0.0"/>
          <w:sz w:val="20"/>
          <w:lang w:eastAsia="en-US"/>
        </w:rPr>
      </w:pPr>
      <w:r>
        <w:rPr>
          <w:rFonts w:eastAsiaTheme="minorEastAsia" w:cs="v5.0.0"/>
          <w:b/>
          <w:bCs/>
          <w:sz w:val="20"/>
          <w:lang w:eastAsia="en-US"/>
        </w:rPr>
        <w:t xml:space="preserve">Proposal 5: </w:t>
      </w:r>
      <w:r>
        <w:rPr>
          <w:rFonts w:eastAsiaTheme="minorEastAsia" w:cs="v5.0.0"/>
          <w:sz w:val="20"/>
          <w:lang w:eastAsia="en-US"/>
        </w:rPr>
        <w:t xml:space="preserve"> </w:t>
      </w:r>
      <w:r w:rsidR="00806060">
        <w:rPr>
          <w:rFonts w:eastAsiaTheme="minorEastAsia" w:cs="v5.0.0"/>
          <w:sz w:val="20"/>
          <w:lang w:eastAsia="en-US"/>
        </w:rPr>
        <w:t xml:space="preserve">Given that fixed and moving earth stations are considered equivalent from a technical regulatory compliance requirement standpoint by regulators, </w:t>
      </w:r>
      <w:r>
        <w:rPr>
          <w:rFonts w:eastAsiaTheme="minorEastAsia" w:cs="v5.0.0"/>
          <w:sz w:val="20"/>
          <w:lang w:eastAsia="en-US"/>
        </w:rPr>
        <w:t xml:space="preserve">RAN4 should </w:t>
      </w:r>
      <w:r w:rsidR="00806060">
        <w:rPr>
          <w:rFonts w:eastAsiaTheme="minorEastAsia" w:cs="v5.0.0"/>
          <w:sz w:val="20"/>
          <w:lang w:eastAsia="en-US"/>
        </w:rPr>
        <w:t xml:space="preserve">consider a single common technical framework for both fixed and </w:t>
      </w:r>
      <w:r w:rsidR="00BB1401">
        <w:rPr>
          <w:rFonts w:eastAsiaTheme="minorEastAsia" w:cs="v5.0.0"/>
          <w:sz w:val="20"/>
          <w:lang w:eastAsia="en-US"/>
        </w:rPr>
        <w:t xml:space="preserve">moving VSAT NTN UEs, considering that fixed </w:t>
      </w:r>
      <w:r w:rsidR="006673A5">
        <w:rPr>
          <w:rFonts w:eastAsiaTheme="minorEastAsia" w:cs="v5.0.0"/>
          <w:sz w:val="20"/>
          <w:lang w:eastAsia="en-US"/>
        </w:rPr>
        <w:t xml:space="preserve">NTN VSAT UE </w:t>
      </w:r>
      <w:r w:rsidR="00BB1401">
        <w:rPr>
          <w:rFonts w:eastAsiaTheme="minorEastAsia" w:cs="v5.0.0"/>
          <w:sz w:val="20"/>
          <w:lang w:eastAsia="en-US"/>
        </w:rPr>
        <w:t xml:space="preserve">can be considered a </w:t>
      </w:r>
      <w:r w:rsidR="006673A5">
        <w:rPr>
          <w:rFonts w:eastAsiaTheme="minorEastAsia" w:cs="v5.0.0"/>
          <w:sz w:val="20"/>
          <w:lang w:eastAsia="en-US"/>
        </w:rPr>
        <w:t>specific deployment scenario of a general NTN VSAT UE.</w:t>
      </w:r>
    </w:p>
    <w:p w14:paraId="4F821E1C" w14:textId="3DA93A84" w:rsidR="00EB109C" w:rsidRPr="00EB109C" w:rsidRDefault="00EB109C" w:rsidP="006F3972">
      <w:pPr>
        <w:pStyle w:val="Text"/>
        <w:rPr>
          <w:rFonts w:eastAsiaTheme="minorEastAsia" w:cs="v5.0.0"/>
          <w:sz w:val="20"/>
          <w:lang w:eastAsia="en-US"/>
        </w:rPr>
      </w:pPr>
      <w:r>
        <w:rPr>
          <w:rFonts w:eastAsiaTheme="minorEastAsia" w:cs="v5.0.0"/>
          <w:b/>
          <w:bCs/>
          <w:sz w:val="20"/>
          <w:lang w:eastAsia="en-US"/>
        </w:rPr>
        <w:t xml:space="preserve">Proposal </w:t>
      </w:r>
      <w:r w:rsidR="006F7A2D">
        <w:rPr>
          <w:rFonts w:eastAsiaTheme="minorEastAsia" w:cs="v5.0.0"/>
          <w:b/>
          <w:bCs/>
          <w:sz w:val="20"/>
          <w:lang w:eastAsia="en-US"/>
        </w:rPr>
        <w:t>6</w:t>
      </w:r>
      <w:r>
        <w:rPr>
          <w:rFonts w:eastAsiaTheme="minorEastAsia" w:cs="v5.0.0"/>
          <w:b/>
          <w:bCs/>
          <w:sz w:val="20"/>
          <w:lang w:eastAsia="en-US"/>
        </w:rPr>
        <w:t xml:space="preserve">: </w:t>
      </w:r>
      <w:r>
        <w:rPr>
          <w:rFonts w:eastAsiaTheme="minorEastAsia" w:cs="v5.0.0"/>
          <w:sz w:val="20"/>
          <w:lang w:eastAsia="en-US"/>
        </w:rPr>
        <w:t xml:space="preserve">Additional case-by-case requirements that are dependent on the </w:t>
      </w:r>
      <w:r w:rsidR="006F7A2D">
        <w:rPr>
          <w:rFonts w:eastAsiaTheme="minorEastAsia" w:cs="v5.0.0"/>
          <w:sz w:val="20"/>
          <w:lang w:eastAsia="en-US"/>
        </w:rPr>
        <w:t>scenario could be addressed through Network Signalling (NS)</w:t>
      </w:r>
    </w:p>
    <w:p w14:paraId="3FF7DF61" w14:textId="70F5F219" w:rsidR="002F0F03" w:rsidRPr="00740BCD" w:rsidRDefault="002F0F03" w:rsidP="002F0F03">
      <w:pPr>
        <w:pStyle w:val="Heading2"/>
        <w:rPr>
          <w:rFonts w:eastAsia="MS Mincho"/>
        </w:rPr>
      </w:pPr>
      <w:r>
        <w:rPr>
          <w:rFonts w:eastAsia="MS Mincho"/>
        </w:rPr>
        <w:t>Reference ETSI EN Specs</w:t>
      </w:r>
    </w:p>
    <w:p w14:paraId="09C6DC5F" w14:textId="77777777" w:rsidR="002F0F03" w:rsidRDefault="002F0F03" w:rsidP="006F3972">
      <w:pPr>
        <w:pStyle w:val="Text"/>
        <w:rPr>
          <w:rFonts w:eastAsiaTheme="minorEastAsia" w:cs="v5.0.0"/>
          <w:sz w:val="20"/>
          <w:lang w:val="en-US" w:eastAsia="en-US"/>
        </w:rPr>
      </w:pPr>
    </w:p>
    <w:p w14:paraId="333BD6CB" w14:textId="5C149B11" w:rsidR="005A6DAB" w:rsidRDefault="009D5A39" w:rsidP="006F3972">
      <w:pPr>
        <w:pStyle w:val="Text"/>
        <w:rPr>
          <w:rFonts w:eastAsiaTheme="minorEastAsia" w:cs="v5.0.0"/>
          <w:sz w:val="20"/>
          <w:lang w:val="en-US" w:eastAsia="en-US"/>
        </w:rPr>
      </w:pPr>
      <w:r>
        <w:rPr>
          <w:rFonts w:eastAsiaTheme="minorEastAsia" w:cs="v5.0.0"/>
          <w:sz w:val="20"/>
          <w:lang w:val="en-US" w:eastAsia="en-US"/>
        </w:rPr>
        <w:t>W</w:t>
      </w:r>
      <w:r w:rsidR="005A6DAB">
        <w:rPr>
          <w:rFonts w:eastAsiaTheme="minorEastAsia" w:cs="v5.0.0"/>
          <w:sz w:val="20"/>
          <w:lang w:val="en-US" w:eastAsia="en-US"/>
        </w:rPr>
        <w:t xml:space="preserve">e would </w:t>
      </w:r>
      <w:r>
        <w:rPr>
          <w:rFonts w:eastAsiaTheme="minorEastAsia" w:cs="v5.0.0"/>
          <w:sz w:val="20"/>
          <w:lang w:val="en-US" w:eastAsia="en-US"/>
        </w:rPr>
        <w:t xml:space="preserve">further </w:t>
      </w:r>
      <w:r w:rsidR="005A6DAB">
        <w:rPr>
          <w:rFonts w:eastAsiaTheme="minorEastAsia" w:cs="v5.0.0"/>
          <w:sz w:val="20"/>
          <w:lang w:val="en-US" w:eastAsia="en-US"/>
        </w:rPr>
        <w:t>like to bring to RAN4 attention that in the satellite communications, ETSI EN specifications are currently used as the “gold standard” reference for the implementation and conformance of Satellite Earth Stations, both fixed and in motion.  Despite them being defined by ETSI, which primarily addresses the European markets, these specs are often accepted by many other regional and country regulator bodies.</w:t>
      </w:r>
    </w:p>
    <w:p w14:paraId="40B6E94F" w14:textId="7030EA00" w:rsidR="005A6DAB" w:rsidRDefault="005A6DAB" w:rsidP="006F3972">
      <w:pPr>
        <w:pStyle w:val="Text"/>
        <w:rPr>
          <w:rFonts w:eastAsiaTheme="minorEastAsia" w:cs="v5.0.0"/>
          <w:sz w:val="20"/>
          <w:lang w:val="en-US" w:eastAsia="en-US"/>
        </w:rPr>
      </w:pPr>
      <w:r>
        <w:rPr>
          <w:rFonts w:eastAsiaTheme="minorEastAsia" w:cs="v5.0.0"/>
          <w:sz w:val="20"/>
          <w:lang w:val="en-US" w:eastAsia="en-US"/>
        </w:rPr>
        <w:t xml:space="preserve">The following specs are of particular relevance for this WI, as they address </w:t>
      </w:r>
      <w:r w:rsidR="00437BC3">
        <w:rPr>
          <w:rFonts w:eastAsiaTheme="minorEastAsia" w:cs="v5.0.0"/>
          <w:sz w:val="20"/>
          <w:lang w:val="en-US" w:eastAsia="en-US"/>
        </w:rPr>
        <w:t>key requirements in respect to satellite Earth stations, both fixed and in-motion, operating in the Ka-band FSS range:</w:t>
      </w:r>
    </w:p>
    <w:tbl>
      <w:tblPr>
        <w:tblStyle w:val="TableGrid"/>
        <w:tblW w:w="0" w:type="auto"/>
        <w:tblLook w:val="04A0" w:firstRow="1" w:lastRow="0" w:firstColumn="1" w:lastColumn="0" w:noHBand="0" w:noVBand="1"/>
      </w:tblPr>
      <w:tblGrid>
        <w:gridCol w:w="1980"/>
        <w:gridCol w:w="5103"/>
        <w:gridCol w:w="2548"/>
      </w:tblGrid>
      <w:tr w:rsidR="002E7C57" w14:paraId="6D0E8760" w14:textId="4D391F13" w:rsidTr="009A0759">
        <w:tc>
          <w:tcPr>
            <w:tcW w:w="1980" w:type="dxa"/>
          </w:tcPr>
          <w:p w14:paraId="4F299103" w14:textId="6B54993E" w:rsidR="002E7C57" w:rsidRPr="009A0759" w:rsidRDefault="002E7C57" w:rsidP="006F3972">
            <w:pPr>
              <w:pStyle w:val="Text"/>
              <w:rPr>
                <w:rFonts w:eastAsiaTheme="minorEastAsia" w:cs="v5.0.0"/>
                <w:b/>
                <w:bCs/>
                <w:sz w:val="20"/>
                <w:lang w:val="en-US" w:eastAsia="en-US"/>
              </w:rPr>
            </w:pPr>
            <w:r>
              <w:rPr>
                <w:rFonts w:eastAsiaTheme="minorEastAsia" w:cs="v5.0.0"/>
                <w:b/>
                <w:bCs/>
                <w:sz w:val="20"/>
                <w:lang w:val="en-US" w:eastAsia="en-US"/>
              </w:rPr>
              <w:t>Spec Number and Version</w:t>
            </w:r>
          </w:p>
        </w:tc>
        <w:tc>
          <w:tcPr>
            <w:tcW w:w="5103" w:type="dxa"/>
          </w:tcPr>
          <w:p w14:paraId="08ACED0B" w14:textId="5DBA41CC" w:rsidR="002E7C57" w:rsidRPr="009A0759" w:rsidRDefault="002E7C57" w:rsidP="006F3972">
            <w:pPr>
              <w:pStyle w:val="Text"/>
              <w:rPr>
                <w:rFonts w:eastAsiaTheme="minorEastAsia" w:cs="v5.0.0"/>
                <w:b/>
                <w:bCs/>
                <w:sz w:val="20"/>
                <w:lang w:val="en-US" w:eastAsia="en-US"/>
              </w:rPr>
            </w:pPr>
            <w:r>
              <w:rPr>
                <w:rFonts w:eastAsiaTheme="minorEastAsia" w:cs="v5.0.0"/>
                <w:b/>
                <w:bCs/>
                <w:sz w:val="20"/>
                <w:lang w:val="en-US" w:eastAsia="en-US"/>
              </w:rPr>
              <w:t>Title</w:t>
            </w:r>
          </w:p>
        </w:tc>
        <w:tc>
          <w:tcPr>
            <w:tcW w:w="2548" w:type="dxa"/>
          </w:tcPr>
          <w:p w14:paraId="236A0794" w14:textId="3019C0F2" w:rsidR="002E7C57" w:rsidRPr="009A0759" w:rsidRDefault="002E7C57" w:rsidP="006F3972">
            <w:pPr>
              <w:pStyle w:val="Text"/>
              <w:rPr>
                <w:rFonts w:eastAsiaTheme="minorEastAsia" w:cs="v5.0.0"/>
                <w:b/>
                <w:bCs/>
                <w:sz w:val="20"/>
                <w:lang w:val="en-US" w:eastAsia="en-US"/>
              </w:rPr>
            </w:pPr>
            <w:r>
              <w:rPr>
                <w:rFonts w:eastAsiaTheme="minorEastAsia" w:cs="v5.0.0"/>
                <w:b/>
                <w:bCs/>
                <w:sz w:val="20"/>
                <w:lang w:val="en-US" w:eastAsia="en-US"/>
              </w:rPr>
              <w:t>Comment</w:t>
            </w:r>
          </w:p>
        </w:tc>
      </w:tr>
      <w:tr w:rsidR="002E7C57" w14:paraId="5ECD4868" w14:textId="53C80892" w:rsidTr="009A0759">
        <w:tc>
          <w:tcPr>
            <w:tcW w:w="1980" w:type="dxa"/>
          </w:tcPr>
          <w:p w14:paraId="616C598C" w14:textId="78FA140D" w:rsidR="002E7C57" w:rsidRDefault="00431B5C" w:rsidP="006F3972">
            <w:pPr>
              <w:pStyle w:val="Text"/>
              <w:rPr>
                <w:rFonts w:eastAsiaTheme="minorEastAsia" w:cs="v5.0.0"/>
                <w:sz w:val="20"/>
                <w:lang w:val="en-US" w:eastAsia="en-US"/>
              </w:rPr>
            </w:pPr>
            <w:r w:rsidRPr="00431B5C">
              <w:rPr>
                <w:rFonts w:eastAsiaTheme="minorEastAsia" w:cs="v5.0.0"/>
                <w:sz w:val="20"/>
                <w:lang w:val="en-US" w:eastAsia="en-US"/>
              </w:rPr>
              <w:t>ETSI EN 301 459 V2.1.1 (2016-05)</w:t>
            </w:r>
          </w:p>
        </w:tc>
        <w:tc>
          <w:tcPr>
            <w:tcW w:w="5103" w:type="dxa"/>
          </w:tcPr>
          <w:p w14:paraId="14B42A73" w14:textId="1A69A34B" w:rsidR="002E7C57" w:rsidRDefault="00431B5C" w:rsidP="006F3972">
            <w:pPr>
              <w:pStyle w:val="Text"/>
              <w:rPr>
                <w:rFonts w:eastAsiaTheme="minorEastAsia" w:cs="v5.0.0"/>
                <w:sz w:val="20"/>
                <w:lang w:val="en-US" w:eastAsia="en-US"/>
              </w:rPr>
            </w:pPr>
            <w:r w:rsidRPr="00431B5C">
              <w:rPr>
                <w:rFonts w:eastAsiaTheme="minorEastAsia" w:cs="v5.0.0"/>
                <w:sz w:val="20"/>
                <w:lang w:val="en-US" w:eastAsia="en-US"/>
              </w:rPr>
              <w:t>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w:t>
            </w:r>
          </w:p>
        </w:tc>
        <w:tc>
          <w:tcPr>
            <w:tcW w:w="2548" w:type="dxa"/>
          </w:tcPr>
          <w:p w14:paraId="3BFD9AC9" w14:textId="560C0000" w:rsidR="002E7C57" w:rsidRDefault="00431B5C" w:rsidP="006F3972">
            <w:pPr>
              <w:pStyle w:val="Text"/>
              <w:rPr>
                <w:rFonts w:eastAsiaTheme="minorEastAsia" w:cs="v5.0.0"/>
                <w:sz w:val="20"/>
                <w:lang w:val="en-US" w:eastAsia="en-US"/>
              </w:rPr>
            </w:pPr>
            <w:r>
              <w:rPr>
                <w:rFonts w:eastAsiaTheme="minorEastAsia" w:cs="v5.0.0"/>
                <w:sz w:val="20"/>
                <w:lang w:val="en-US" w:eastAsia="en-US"/>
              </w:rPr>
              <w:t>Addresses fixed</w:t>
            </w:r>
            <w:r w:rsidR="005A3CDD">
              <w:rPr>
                <w:rFonts w:eastAsiaTheme="minorEastAsia" w:cs="v5.0.0"/>
                <w:sz w:val="20"/>
                <w:lang w:val="en-US" w:eastAsia="en-US"/>
              </w:rPr>
              <w:t xml:space="preserve"> Earth stations</w:t>
            </w:r>
            <w:r>
              <w:rPr>
                <w:rFonts w:eastAsiaTheme="minorEastAsia" w:cs="v5.0.0"/>
                <w:sz w:val="20"/>
                <w:lang w:val="en-US" w:eastAsia="en-US"/>
              </w:rPr>
              <w:t xml:space="preserve"> in GSO with UL range 29.5-30</w:t>
            </w:r>
            <w:r w:rsidR="00360558">
              <w:rPr>
                <w:rFonts w:eastAsiaTheme="minorEastAsia" w:cs="v5.0.0"/>
                <w:sz w:val="20"/>
                <w:lang w:val="en-US" w:eastAsia="en-US"/>
              </w:rPr>
              <w:t>.0</w:t>
            </w:r>
            <w:r>
              <w:rPr>
                <w:rFonts w:eastAsiaTheme="minorEastAsia" w:cs="v5.0.0"/>
                <w:sz w:val="20"/>
                <w:lang w:val="en-US" w:eastAsia="en-US"/>
              </w:rPr>
              <w:t xml:space="preserve"> GHz</w:t>
            </w:r>
          </w:p>
        </w:tc>
      </w:tr>
      <w:tr w:rsidR="002E7C57" w14:paraId="1E59C887" w14:textId="10A25C19" w:rsidTr="009A0759">
        <w:tc>
          <w:tcPr>
            <w:tcW w:w="1980" w:type="dxa"/>
          </w:tcPr>
          <w:p w14:paraId="045F9454" w14:textId="4BF0E027" w:rsidR="002E7C57" w:rsidRDefault="00360558" w:rsidP="006F3972">
            <w:pPr>
              <w:pStyle w:val="Text"/>
              <w:rPr>
                <w:rFonts w:eastAsiaTheme="minorEastAsia" w:cs="v5.0.0"/>
                <w:sz w:val="20"/>
                <w:lang w:val="en-US" w:eastAsia="en-US"/>
              </w:rPr>
            </w:pPr>
            <w:r w:rsidRPr="00360558">
              <w:rPr>
                <w:rFonts w:eastAsiaTheme="minorEastAsia" w:cs="v5.0.0"/>
                <w:sz w:val="20"/>
                <w:lang w:val="en-US" w:eastAsia="en-US"/>
              </w:rPr>
              <w:t>ETSI EN 301 360 V2.1.1 (2016-06)</w:t>
            </w:r>
          </w:p>
        </w:tc>
        <w:tc>
          <w:tcPr>
            <w:tcW w:w="5103" w:type="dxa"/>
          </w:tcPr>
          <w:p w14:paraId="61CA061F" w14:textId="1AF1219A" w:rsidR="002E7C57" w:rsidRDefault="00F57CAD" w:rsidP="006F3972">
            <w:pPr>
              <w:pStyle w:val="Text"/>
              <w:rPr>
                <w:rFonts w:eastAsiaTheme="minorEastAsia" w:cs="v5.0.0"/>
                <w:sz w:val="20"/>
                <w:lang w:val="en-US" w:eastAsia="en-US"/>
              </w:rPr>
            </w:pPr>
            <w:r w:rsidRPr="00F57CAD">
              <w:rPr>
                <w:rFonts w:eastAsiaTheme="minorEastAsia" w:cs="v5.0.0"/>
                <w:sz w:val="20"/>
                <w:lang w:val="en-US" w:eastAsia="en-US"/>
              </w:rPr>
              <w:t>Satellite Earth Stations and Systems (SES); Harmonised Standard for Satellite Interactive Terminals (SIT) and Satellite User Terminals (SUT) transmitting towards satellites in geostationary orbit, operating in the 27,5 GHz to 29,5 GHz frequency bands covering the essential requirements of article 3.2 of the Directive 2014/53/EU</w:t>
            </w:r>
          </w:p>
        </w:tc>
        <w:tc>
          <w:tcPr>
            <w:tcW w:w="2548" w:type="dxa"/>
          </w:tcPr>
          <w:p w14:paraId="3FB3F38A" w14:textId="3E1AB32B" w:rsidR="002E7C57" w:rsidRDefault="00431B5C" w:rsidP="006F3972">
            <w:pPr>
              <w:pStyle w:val="Text"/>
              <w:rPr>
                <w:rFonts w:eastAsiaTheme="minorEastAsia" w:cs="v5.0.0"/>
                <w:sz w:val="20"/>
                <w:lang w:val="en-US" w:eastAsia="en-US"/>
              </w:rPr>
            </w:pPr>
            <w:r>
              <w:rPr>
                <w:rFonts w:eastAsiaTheme="minorEastAsia" w:cs="v5.0.0"/>
                <w:sz w:val="20"/>
                <w:lang w:val="en-US" w:eastAsia="en-US"/>
              </w:rPr>
              <w:t>Addresses fixed</w:t>
            </w:r>
            <w:r w:rsidR="005A3CDD">
              <w:rPr>
                <w:rFonts w:eastAsiaTheme="minorEastAsia" w:cs="v5.0.0"/>
                <w:sz w:val="20"/>
                <w:lang w:val="en-US" w:eastAsia="en-US"/>
              </w:rPr>
              <w:t xml:space="preserve"> Earth stations</w:t>
            </w:r>
            <w:r>
              <w:rPr>
                <w:rFonts w:eastAsiaTheme="minorEastAsia" w:cs="v5.0.0"/>
                <w:sz w:val="20"/>
                <w:lang w:val="en-US" w:eastAsia="en-US"/>
              </w:rPr>
              <w:t xml:space="preserve"> in GSO with UL range 2</w:t>
            </w:r>
            <w:r w:rsidR="00360558">
              <w:rPr>
                <w:rFonts w:eastAsiaTheme="minorEastAsia" w:cs="v5.0.0"/>
                <w:sz w:val="20"/>
                <w:lang w:val="en-US" w:eastAsia="en-US"/>
              </w:rPr>
              <w:t>7</w:t>
            </w:r>
            <w:r>
              <w:rPr>
                <w:rFonts w:eastAsiaTheme="minorEastAsia" w:cs="v5.0.0"/>
                <w:sz w:val="20"/>
                <w:lang w:val="en-US" w:eastAsia="en-US"/>
              </w:rPr>
              <w:t>.5-</w:t>
            </w:r>
            <w:r w:rsidR="00360558">
              <w:rPr>
                <w:rFonts w:eastAsiaTheme="minorEastAsia" w:cs="v5.0.0"/>
                <w:sz w:val="20"/>
                <w:lang w:val="en-US" w:eastAsia="en-US"/>
              </w:rPr>
              <w:t>29.5</w:t>
            </w:r>
            <w:r>
              <w:rPr>
                <w:rFonts w:eastAsiaTheme="minorEastAsia" w:cs="v5.0.0"/>
                <w:sz w:val="20"/>
                <w:lang w:val="en-US" w:eastAsia="en-US"/>
              </w:rPr>
              <w:t xml:space="preserve"> GHz</w:t>
            </w:r>
          </w:p>
        </w:tc>
      </w:tr>
      <w:tr w:rsidR="002E7C57" w14:paraId="18B29766" w14:textId="59E5053E" w:rsidTr="009A0759">
        <w:tc>
          <w:tcPr>
            <w:tcW w:w="1980" w:type="dxa"/>
          </w:tcPr>
          <w:p w14:paraId="756EA0C8" w14:textId="0B0491EF" w:rsidR="002E7C57" w:rsidRDefault="00687D4B" w:rsidP="006F3972">
            <w:pPr>
              <w:pStyle w:val="Text"/>
              <w:rPr>
                <w:rFonts w:eastAsiaTheme="minorEastAsia" w:cs="v5.0.0"/>
                <w:sz w:val="20"/>
                <w:lang w:val="en-US" w:eastAsia="en-US"/>
              </w:rPr>
            </w:pPr>
            <w:r w:rsidRPr="00687D4B">
              <w:rPr>
                <w:rFonts w:eastAsiaTheme="minorEastAsia" w:cs="v5.0.0"/>
                <w:sz w:val="20"/>
                <w:lang w:val="en-US" w:eastAsia="en-US"/>
              </w:rPr>
              <w:lastRenderedPageBreak/>
              <w:t>ETSI EN 303 699 V1.1.1 (2021-02)</w:t>
            </w:r>
          </w:p>
        </w:tc>
        <w:tc>
          <w:tcPr>
            <w:tcW w:w="5103" w:type="dxa"/>
          </w:tcPr>
          <w:p w14:paraId="301B0C46" w14:textId="395E4299" w:rsidR="002E7C57" w:rsidRDefault="00687D4B" w:rsidP="006F3972">
            <w:pPr>
              <w:pStyle w:val="Text"/>
              <w:rPr>
                <w:rFonts w:eastAsiaTheme="minorEastAsia" w:cs="v5.0.0"/>
                <w:sz w:val="20"/>
                <w:lang w:val="en-US" w:eastAsia="en-US"/>
              </w:rPr>
            </w:pPr>
            <w:r w:rsidRPr="00687D4B">
              <w:rPr>
                <w:rFonts w:eastAsiaTheme="minorEastAsia" w:cs="v5.0.0"/>
                <w:sz w:val="20"/>
                <w:lang w:val="en-US" w:eastAsia="en-US"/>
              </w:rPr>
              <w:t>Satellite Earth Stations and Systems (SES); Fixed earth stations communicating with non-geostationary satellite systems in the 20 GHz and 30 GHz FSS bands; Harmonised Standard for access to radio spectrum</w:t>
            </w:r>
          </w:p>
        </w:tc>
        <w:tc>
          <w:tcPr>
            <w:tcW w:w="2548" w:type="dxa"/>
          </w:tcPr>
          <w:p w14:paraId="4206F9A2" w14:textId="338C9308" w:rsidR="002E7C57" w:rsidRDefault="00687D4B" w:rsidP="006F3972">
            <w:pPr>
              <w:pStyle w:val="Text"/>
              <w:rPr>
                <w:rFonts w:eastAsiaTheme="minorEastAsia" w:cs="v5.0.0"/>
                <w:sz w:val="20"/>
                <w:lang w:val="en-US" w:eastAsia="en-US"/>
              </w:rPr>
            </w:pPr>
            <w:r>
              <w:rPr>
                <w:rFonts w:eastAsiaTheme="minorEastAsia" w:cs="v5.0.0"/>
                <w:sz w:val="20"/>
                <w:lang w:val="en-US" w:eastAsia="en-US"/>
              </w:rPr>
              <w:t xml:space="preserve">Addresses fixed </w:t>
            </w:r>
            <w:r w:rsidR="005A3CDD">
              <w:rPr>
                <w:rFonts w:eastAsiaTheme="minorEastAsia" w:cs="v5.0.0"/>
                <w:sz w:val="20"/>
                <w:lang w:val="en-US" w:eastAsia="en-US"/>
              </w:rPr>
              <w:t>Earth stations</w:t>
            </w:r>
            <w:r>
              <w:rPr>
                <w:rFonts w:eastAsiaTheme="minorEastAsia" w:cs="v5.0.0"/>
                <w:sz w:val="20"/>
                <w:lang w:val="en-US" w:eastAsia="en-US"/>
              </w:rPr>
              <w:t xml:space="preserve"> in NGSO </w:t>
            </w:r>
            <w:r w:rsidR="00AA658F">
              <w:rPr>
                <w:rFonts w:eastAsiaTheme="minorEastAsia" w:cs="v5.0.0"/>
                <w:sz w:val="20"/>
                <w:lang w:val="en-US" w:eastAsia="en-US"/>
              </w:rPr>
              <w:t>in the harmonized</w:t>
            </w:r>
            <w:r>
              <w:rPr>
                <w:rFonts w:eastAsiaTheme="minorEastAsia" w:cs="v5.0.0"/>
                <w:sz w:val="20"/>
                <w:lang w:val="en-US" w:eastAsia="en-US"/>
              </w:rPr>
              <w:t xml:space="preserve"> Ka band</w:t>
            </w:r>
          </w:p>
        </w:tc>
      </w:tr>
      <w:tr w:rsidR="00687D4B" w14:paraId="13F7984D" w14:textId="77777777" w:rsidTr="002E7C57">
        <w:tc>
          <w:tcPr>
            <w:tcW w:w="1980" w:type="dxa"/>
          </w:tcPr>
          <w:p w14:paraId="2A2F4135" w14:textId="73FEF2EB" w:rsidR="00687D4B" w:rsidRPr="00687D4B" w:rsidRDefault="005A3CDD" w:rsidP="006F3972">
            <w:pPr>
              <w:pStyle w:val="Text"/>
              <w:rPr>
                <w:rFonts w:eastAsiaTheme="minorEastAsia" w:cs="v5.0.0"/>
                <w:sz w:val="20"/>
                <w:lang w:val="en-US" w:eastAsia="en-US"/>
              </w:rPr>
            </w:pPr>
            <w:r w:rsidRPr="005A3CDD">
              <w:rPr>
                <w:rFonts w:eastAsiaTheme="minorEastAsia" w:cs="v5.0.0"/>
                <w:sz w:val="20"/>
                <w:lang w:val="en-US" w:eastAsia="en-US"/>
              </w:rPr>
              <w:t>ETSI EN 303 978 V2.1.2 (2016-10)</w:t>
            </w:r>
          </w:p>
        </w:tc>
        <w:tc>
          <w:tcPr>
            <w:tcW w:w="5103" w:type="dxa"/>
          </w:tcPr>
          <w:p w14:paraId="71E5532F" w14:textId="480C0DE7" w:rsidR="00687D4B" w:rsidRPr="00687D4B" w:rsidRDefault="005A3CDD" w:rsidP="006F3972">
            <w:pPr>
              <w:pStyle w:val="Text"/>
              <w:rPr>
                <w:rFonts w:eastAsiaTheme="minorEastAsia" w:cs="v5.0.0"/>
                <w:sz w:val="20"/>
                <w:lang w:val="en-US" w:eastAsia="en-US"/>
              </w:rPr>
            </w:pPr>
            <w:r w:rsidRPr="005A3CDD">
              <w:rPr>
                <w:rFonts w:eastAsiaTheme="minorEastAsia" w:cs="v5.0.0"/>
                <w:sz w:val="20"/>
                <w:lang w:val="en-US" w:eastAsia="en-US"/>
              </w:rPr>
              <w:t>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w:t>
            </w:r>
          </w:p>
        </w:tc>
        <w:tc>
          <w:tcPr>
            <w:tcW w:w="2548" w:type="dxa"/>
          </w:tcPr>
          <w:p w14:paraId="05B5367A" w14:textId="0207F008" w:rsidR="00687D4B" w:rsidRDefault="005A3CDD" w:rsidP="006F3972">
            <w:pPr>
              <w:pStyle w:val="Text"/>
              <w:rPr>
                <w:rFonts w:eastAsiaTheme="minorEastAsia" w:cs="v5.0.0"/>
                <w:sz w:val="20"/>
                <w:lang w:val="en-US" w:eastAsia="en-US"/>
              </w:rPr>
            </w:pPr>
            <w:r>
              <w:rPr>
                <w:rFonts w:eastAsiaTheme="minorEastAsia" w:cs="v5.0.0"/>
                <w:sz w:val="20"/>
                <w:lang w:val="en-US" w:eastAsia="en-US"/>
              </w:rPr>
              <w:t>Addresses ESIMs in GSO with UL range 27.5-30.0 GHz</w:t>
            </w:r>
          </w:p>
        </w:tc>
      </w:tr>
      <w:tr w:rsidR="00AA658F" w14:paraId="3AEF6DF0" w14:textId="77777777" w:rsidTr="002E7C57">
        <w:tc>
          <w:tcPr>
            <w:tcW w:w="1980" w:type="dxa"/>
          </w:tcPr>
          <w:p w14:paraId="0BB9FC19" w14:textId="4DB43F4E" w:rsidR="00AA658F" w:rsidRPr="005A3CDD" w:rsidRDefault="00AA658F" w:rsidP="006F3972">
            <w:pPr>
              <w:pStyle w:val="Text"/>
              <w:rPr>
                <w:rFonts w:eastAsiaTheme="minorEastAsia" w:cs="v5.0.0"/>
                <w:sz w:val="20"/>
                <w:lang w:val="en-US" w:eastAsia="en-US"/>
              </w:rPr>
            </w:pPr>
            <w:r w:rsidRPr="00AA658F">
              <w:rPr>
                <w:rFonts w:eastAsiaTheme="minorEastAsia" w:cs="v5.0.0"/>
                <w:sz w:val="20"/>
                <w:lang w:val="en-US" w:eastAsia="en-US"/>
              </w:rPr>
              <w:t>ETSI EN 303 979 V2.1.2 (2016-10)</w:t>
            </w:r>
          </w:p>
        </w:tc>
        <w:tc>
          <w:tcPr>
            <w:tcW w:w="5103" w:type="dxa"/>
          </w:tcPr>
          <w:p w14:paraId="790914BC" w14:textId="07D670E7" w:rsidR="00AA658F" w:rsidRPr="005A3CDD" w:rsidRDefault="00AA658F" w:rsidP="006F3972">
            <w:pPr>
              <w:pStyle w:val="Text"/>
              <w:rPr>
                <w:rFonts w:eastAsiaTheme="minorEastAsia" w:cs="v5.0.0"/>
                <w:sz w:val="20"/>
                <w:lang w:val="en-US" w:eastAsia="en-US"/>
              </w:rPr>
            </w:pPr>
            <w:r w:rsidRPr="00AA658F">
              <w:rPr>
                <w:rFonts w:eastAsiaTheme="minorEastAsia" w:cs="v5.0.0"/>
                <w:sz w:val="20"/>
                <w:lang w:val="en-US" w:eastAsia="en-US"/>
              </w:rPr>
              <w:t>Satellite Earth Stations and Systems (SES); Harmonised Standard for Earth Stations on Mobile Platforms (ESOMP) transmitting towards satellites in non-geostationary orbit, operating in the 27,5 GHz to 29,1 GHz and 29,5 GHz to 30,0 GHz frequency bands covering the essential requirements of article 3.2 of the Directive 2014/53/EU</w:t>
            </w:r>
          </w:p>
        </w:tc>
        <w:tc>
          <w:tcPr>
            <w:tcW w:w="2548" w:type="dxa"/>
          </w:tcPr>
          <w:p w14:paraId="6C6D5F57" w14:textId="29601A6E" w:rsidR="00AA658F" w:rsidRDefault="00AA658F" w:rsidP="006F3972">
            <w:pPr>
              <w:pStyle w:val="Text"/>
              <w:rPr>
                <w:rFonts w:eastAsiaTheme="minorEastAsia" w:cs="v5.0.0"/>
                <w:sz w:val="20"/>
                <w:lang w:val="en-US" w:eastAsia="en-US"/>
              </w:rPr>
            </w:pPr>
            <w:r w:rsidRPr="00AA658F">
              <w:rPr>
                <w:rFonts w:eastAsiaTheme="minorEastAsia" w:cs="v5.0.0"/>
                <w:sz w:val="20"/>
                <w:lang w:val="en-US" w:eastAsia="en-US"/>
              </w:rPr>
              <w:t xml:space="preserve">Addresses ESIMs in </w:t>
            </w:r>
            <w:r>
              <w:rPr>
                <w:rFonts w:eastAsiaTheme="minorEastAsia" w:cs="v5.0.0"/>
                <w:sz w:val="20"/>
                <w:lang w:val="en-US" w:eastAsia="en-US"/>
              </w:rPr>
              <w:t>N</w:t>
            </w:r>
            <w:r w:rsidRPr="00AA658F">
              <w:rPr>
                <w:rFonts w:eastAsiaTheme="minorEastAsia" w:cs="v5.0.0"/>
                <w:sz w:val="20"/>
                <w:lang w:val="en-US" w:eastAsia="en-US"/>
              </w:rPr>
              <w:t>GSO with UL range 27.5-</w:t>
            </w:r>
            <w:r>
              <w:rPr>
                <w:rFonts w:eastAsiaTheme="minorEastAsia" w:cs="v5.0.0"/>
                <w:sz w:val="20"/>
                <w:lang w:val="en-US" w:eastAsia="en-US"/>
              </w:rPr>
              <w:t>29.1 and 29.5-</w:t>
            </w:r>
            <w:r w:rsidRPr="00AA658F">
              <w:rPr>
                <w:rFonts w:eastAsiaTheme="minorEastAsia" w:cs="v5.0.0"/>
                <w:sz w:val="20"/>
                <w:lang w:val="en-US" w:eastAsia="en-US"/>
              </w:rPr>
              <w:t>30.0 GHz</w:t>
            </w:r>
          </w:p>
        </w:tc>
      </w:tr>
    </w:tbl>
    <w:p w14:paraId="1F8DE2A9" w14:textId="273A8E67" w:rsidR="00437BC3" w:rsidRDefault="00437BC3" w:rsidP="006F3972">
      <w:pPr>
        <w:pStyle w:val="Text"/>
        <w:rPr>
          <w:rFonts w:eastAsiaTheme="minorEastAsia" w:cs="v5.0.0"/>
          <w:sz w:val="20"/>
          <w:lang w:val="en-US" w:eastAsia="en-US"/>
        </w:rPr>
      </w:pPr>
    </w:p>
    <w:p w14:paraId="0C75D1C6" w14:textId="66B122F7" w:rsidR="009D5A39" w:rsidRDefault="009D5A39" w:rsidP="006F3972">
      <w:pPr>
        <w:pStyle w:val="Text"/>
        <w:rPr>
          <w:rFonts w:eastAsiaTheme="minorEastAsia" w:cs="v5.0.0"/>
          <w:sz w:val="20"/>
          <w:lang w:val="en-US" w:eastAsia="en-US"/>
        </w:rPr>
      </w:pPr>
      <w:r>
        <w:rPr>
          <w:rFonts w:eastAsiaTheme="minorEastAsia" w:cs="v5.0.0"/>
          <w:b/>
          <w:bCs/>
          <w:sz w:val="20"/>
          <w:lang w:val="en-US" w:eastAsia="en-US"/>
        </w:rPr>
        <w:t xml:space="preserve">Proposal </w:t>
      </w:r>
      <w:r w:rsidR="004D2DC9">
        <w:rPr>
          <w:rFonts w:eastAsiaTheme="minorEastAsia" w:cs="v5.0.0"/>
          <w:b/>
          <w:bCs/>
          <w:sz w:val="20"/>
          <w:lang w:val="en-US" w:eastAsia="en-US"/>
        </w:rPr>
        <w:t>7</w:t>
      </w:r>
      <w:r>
        <w:rPr>
          <w:rFonts w:eastAsiaTheme="minorEastAsia" w:cs="v5.0.0"/>
          <w:b/>
          <w:bCs/>
          <w:sz w:val="20"/>
          <w:lang w:val="en-US" w:eastAsia="en-US"/>
        </w:rPr>
        <w:t xml:space="preserve">: </w:t>
      </w:r>
      <w:r>
        <w:rPr>
          <w:rFonts w:eastAsiaTheme="minorEastAsia" w:cs="v5.0.0"/>
          <w:sz w:val="20"/>
          <w:lang w:val="en-US" w:eastAsia="en-US"/>
        </w:rPr>
        <w:t xml:space="preserve"> The following relevant ETSI EN specifications applicable to GSO and NGSO Earth Stations should be taken as references for the identification of requirements for operation of NTN terminals with VSAT characteristics in Ka band: </w:t>
      </w:r>
      <w:r w:rsidRPr="00431B5C">
        <w:rPr>
          <w:rFonts w:eastAsiaTheme="minorEastAsia" w:cs="v5.0.0"/>
          <w:sz w:val="20"/>
          <w:lang w:val="en-US" w:eastAsia="en-US"/>
        </w:rPr>
        <w:t>ETSI EN 301 459</w:t>
      </w:r>
      <w:r>
        <w:rPr>
          <w:rFonts w:eastAsiaTheme="minorEastAsia" w:cs="v5.0.0"/>
          <w:sz w:val="20"/>
          <w:lang w:val="en-US" w:eastAsia="en-US"/>
        </w:rPr>
        <w:t xml:space="preserve">, </w:t>
      </w:r>
      <w:r w:rsidRPr="00360558">
        <w:rPr>
          <w:rFonts w:eastAsiaTheme="minorEastAsia" w:cs="v5.0.0"/>
          <w:sz w:val="20"/>
          <w:lang w:val="en-US" w:eastAsia="en-US"/>
        </w:rPr>
        <w:t>ETSI EN 301 360</w:t>
      </w:r>
      <w:r>
        <w:rPr>
          <w:rFonts w:eastAsiaTheme="minorEastAsia" w:cs="v5.0.0"/>
          <w:sz w:val="20"/>
          <w:lang w:val="en-US" w:eastAsia="en-US"/>
        </w:rPr>
        <w:t xml:space="preserve">, </w:t>
      </w:r>
      <w:r w:rsidRPr="00687D4B">
        <w:rPr>
          <w:rFonts w:eastAsiaTheme="minorEastAsia" w:cs="v5.0.0"/>
          <w:sz w:val="20"/>
          <w:lang w:val="en-US" w:eastAsia="en-US"/>
        </w:rPr>
        <w:t>ETSI EN 303 699</w:t>
      </w:r>
      <w:r>
        <w:rPr>
          <w:rFonts w:eastAsiaTheme="minorEastAsia" w:cs="v5.0.0"/>
          <w:sz w:val="20"/>
          <w:lang w:val="en-US" w:eastAsia="en-US"/>
        </w:rPr>
        <w:t xml:space="preserve">, </w:t>
      </w:r>
      <w:r w:rsidRPr="005A3CDD">
        <w:rPr>
          <w:rFonts w:eastAsiaTheme="minorEastAsia" w:cs="v5.0.0"/>
          <w:sz w:val="20"/>
          <w:lang w:val="en-US" w:eastAsia="en-US"/>
        </w:rPr>
        <w:t>ETSI EN 303 978</w:t>
      </w:r>
      <w:r>
        <w:rPr>
          <w:rFonts w:eastAsiaTheme="minorEastAsia" w:cs="v5.0.0"/>
          <w:sz w:val="20"/>
          <w:lang w:val="en-US" w:eastAsia="en-US"/>
        </w:rPr>
        <w:t xml:space="preserve">, </w:t>
      </w:r>
      <w:r w:rsidRPr="00AA658F">
        <w:rPr>
          <w:rFonts w:eastAsiaTheme="minorEastAsia" w:cs="v5.0.0"/>
          <w:sz w:val="20"/>
          <w:lang w:val="en-US" w:eastAsia="en-US"/>
        </w:rPr>
        <w:t>ETSI EN 303 979</w:t>
      </w:r>
      <w:r>
        <w:rPr>
          <w:rFonts w:eastAsiaTheme="minorEastAsia" w:cs="v5.0.0"/>
          <w:sz w:val="20"/>
          <w:lang w:val="en-US" w:eastAsia="en-US"/>
        </w:rPr>
        <w:t>.</w:t>
      </w:r>
    </w:p>
    <w:p w14:paraId="596AC59F" w14:textId="77777777" w:rsidR="006E6F58" w:rsidRDefault="009D5A39" w:rsidP="006F3972">
      <w:pPr>
        <w:pStyle w:val="Text"/>
        <w:rPr>
          <w:rFonts w:eastAsiaTheme="minorEastAsia" w:cs="v5.0.0"/>
          <w:sz w:val="20"/>
          <w:lang w:val="en-US" w:eastAsia="en-US"/>
        </w:rPr>
      </w:pPr>
      <w:r>
        <w:rPr>
          <w:rFonts w:eastAsiaTheme="minorEastAsia" w:cs="v5.0.0"/>
          <w:sz w:val="20"/>
          <w:lang w:val="en-US" w:eastAsia="en-US"/>
        </w:rPr>
        <w:t xml:space="preserve">Lastly, it should be noted that the majority of </w:t>
      </w:r>
      <w:r w:rsidR="00555327">
        <w:rPr>
          <w:rFonts w:eastAsiaTheme="minorEastAsia" w:cs="v5.0.0"/>
          <w:sz w:val="20"/>
          <w:lang w:val="en-US" w:eastAsia="en-US"/>
        </w:rPr>
        <w:t xml:space="preserve">regulatory frameworks and technical specifications around satellite Earth stations, both fixed and in-motion, are generally designed to </w:t>
      </w:r>
      <w:r w:rsidR="0033728C">
        <w:rPr>
          <w:rFonts w:eastAsiaTheme="minorEastAsia" w:cs="v5.0.0"/>
          <w:sz w:val="20"/>
          <w:lang w:val="en-US" w:eastAsia="en-US"/>
        </w:rPr>
        <w:t xml:space="preserve">address also coexistence between different satellite systems, both of the same orbit (e.g. GSO-GSO, NGSO-NGSO), as well as different orbits (e.g. GSO-NGSO).  </w:t>
      </w:r>
    </w:p>
    <w:p w14:paraId="6D098DF3" w14:textId="1F72DD0A" w:rsidR="009D5A39" w:rsidRDefault="00E00264" w:rsidP="006F3972">
      <w:pPr>
        <w:pStyle w:val="Text"/>
        <w:rPr>
          <w:rFonts w:eastAsiaTheme="minorEastAsia" w:cs="v5.0.0"/>
          <w:sz w:val="20"/>
          <w:lang w:val="en-US" w:eastAsia="en-US"/>
        </w:rPr>
      </w:pPr>
      <w:r>
        <w:rPr>
          <w:rFonts w:eastAsiaTheme="minorEastAsia" w:cs="v5.0.0"/>
          <w:sz w:val="20"/>
          <w:lang w:val="en-US" w:eastAsia="en-US"/>
        </w:rPr>
        <w:t xml:space="preserve">The NTN-NTN coexistence both same orbit and across orbit </w:t>
      </w:r>
      <w:r w:rsidR="004E04FE">
        <w:rPr>
          <w:rFonts w:eastAsiaTheme="minorEastAsia" w:cs="v5.0.0"/>
          <w:sz w:val="20"/>
          <w:lang w:val="en-US" w:eastAsia="en-US"/>
        </w:rPr>
        <w:t>is generally addressed by a mix of technical specification,</w:t>
      </w:r>
      <w:r w:rsidR="004E04FE" w:rsidRPr="004E04FE">
        <w:rPr>
          <w:rFonts w:eastAsiaTheme="minorEastAsia" w:cs="v5.0.0"/>
          <w:sz w:val="20"/>
          <w:lang w:val="en-US" w:eastAsia="en-US"/>
        </w:rPr>
        <w:t xml:space="preserve"> </w:t>
      </w:r>
      <w:r w:rsidR="004E04FE">
        <w:rPr>
          <w:rFonts w:eastAsiaTheme="minorEastAsia" w:cs="v5.0.0"/>
          <w:sz w:val="20"/>
          <w:lang w:val="en-US" w:eastAsia="en-US"/>
        </w:rPr>
        <w:t xml:space="preserve">such as the ETSI EN specs, via the requirements for pointing accuracy, on/off-axis emissions and closed-loop monitoring, and inter-operator cooperation (particularly for inter-orbit coexistence). However, at this stage we strongly recommend 3GPP RAN4 efforts to take the reference specifications and requirements into account for the general Core requirement framework, and focus on TN-NTN coexistence aspects only.  </w:t>
      </w:r>
    </w:p>
    <w:p w14:paraId="5102FFEB" w14:textId="2D8870AC" w:rsidR="006E6F58" w:rsidRPr="004E3EC1" w:rsidRDefault="006E6F58" w:rsidP="006F3972">
      <w:pPr>
        <w:pStyle w:val="Text"/>
        <w:rPr>
          <w:rFonts w:eastAsiaTheme="minorEastAsia" w:cs="v5.0.0"/>
          <w:sz w:val="20"/>
          <w:lang w:val="en-US" w:eastAsia="en-US"/>
        </w:rPr>
      </w:pPr>
      <w:r>
        <w:rPr>
          <w:rFonts w:eastAsiaTheme="minorEastAsia" w:cs="v5.0.0"/>
          <w:b/>
          <w:bCs/>
          <w:sz w:val="20"/>
          <w:lang w:val="en-US" w:eastAsia="en-US"/>
        </w:rPr>
        <w:t>Proposal</w:t>
      </w:r>
      <w:r w:rsidR="00680B38">
        <w:rPr>
          <w:rFonts w:eastAsiaTheme="minorEastAsia" w:cs="v5.0.0"/>
          <w:b/>
          <w:bCs/>
          <w:sz w:val="20"/>
          <w:lang w:val="en-US" w:eastAsia="en-US"/>
        </w:rPr>
        <w:t xml:space="preserve"> </w:t>
      </w:r>
      <w:r w:rsidR="004D2DC9">
        <w:rPr>
          <w:rFonts w:eastAsiaTheme="minorEastAsia" w:cs="v5.0.0"/>
          <w:b/>
          <w:bCs/>
          <w:sz w:val="20"/>
          <w:lang w:val="en-US" w:eastAsia="en-US"/>
        </w:rPr>
        <w:t>8</w:t>
      </w:r>
      <w:r w:rsidR="00680B38">
        <w:rPr>
          <w:rFonts w:eastAsiaTheme="minorEastAsia" w:cs="v5.0.0"/>
          <w:b/>
          <w:bCs/>
          <w:sz w:val="20"/>
          <w:lang w:val="en-US" w:eastAsia="en-US"/>
        </w:rPr>
        <w:t xml:space="preserve">: </w:t>
      </w:r>
      <w:r w:rsidR="004E3EC1">
        <w:rPr>
          <w:rFonts w:eastAsiaTheme="minorEastAsia" w:cs="v5.0.0"/>
          <w:sz w:val="20"/>
          <w:lang w:val="en-US" w:eastAsia="en-US"/>
        </w:rPr>
        <w:t xml:space="preserve">NTN-NTN </w:t>
      </w:r>
      <w:r w:rsidR="00BB1D11">
        <w:rPr>
          <w:rFonts w:eastAsiaTheme="minorEastAsia" w:cs="v5.0.0"/>
          <w:sz w:val="20"/>
          <w:lang w:val="en-US" w:eastAsia="en-US"/>
        </w:rPr>
        <w:t xml:space="preserve">co-channel </w:t>
      </w:r>
      <w:r w:rsidR="004E3EC1">
        <w:rPr>
          <w:rFonts w:eastAsiaTheme="minorEastAsia" w:cs="v5.0.0"/>
          <w:sz w:val="20"/>
          <w:lang w:val="en-US" w:eastAsia="en-US"/>
        </w:rPr>
        <w:t>coexistence</w:t>
      </w:r>
      <w:r w:rsidR="00E00264">
        <w:rPr>
          <w:rFonts w:eastAsiaTheme="minorEastAsia" w:cs="v5.0.0"/>
          <w:sz w:val="20"/>
          <w:lang w:val="en-US" w:eastAsia="en-US"/>
        </w:rPr>
        <w:t xml:space="preserve"> </w:t>
      </w:r>
      <w:r w:rsidR="00BB1D11">
        <w:rPr>
          <w:rFonts w:eastAsiaTheme="minorEastAsia" w:cs="v5.0.0"/>
          <w:sz w:val="20"/>
          <w:lang w:val="en-US" w:eastAsia="en-US"/>
        </w:rPr>
        <w:t>in</w:t>
      </w:r>
      <w:r w:rsidR="004E3EC1">
        <w:rPr>
          <w:rFonts w:eastAsiaTheme="minorEastAsia" w:cs="v5.0.0"/>
          <w:sz w:val="20"/>
          <w:lang w:val="en-US" w:eastAsia="en-US"/>
        </w:rPr>
        <w:t xml:space="preserve"> operation of NTN in Ka band </w:t>
      </w:r>
      <w:r w:rsidR="00BB1D11">
        <w:rPr>
          <w:rFonts w:eastAsiaTheme="minorEastAsia" w:cs="v5.0.0"/>
          <w:sz w:val="20"/>
          <w:lang w:val="en-US" w:eastAsia="en-US"/>
        </w:rPr>
        <w:t>should be considered out of scope of RAN4 activities</w:t>
      </w:r>
      <w:r w:rsidR="00E00264">
        <w:rPr>
          <w:rFonts w:eastAsiaTheme="minorEastAsia" w:cs="v5.0.0"/>
          <w:sz w:val="20"/>
          <w:lang w:val="en-US" w:eastAsia="en-US"/>
        </w:rPr>
        <w:t>, whilst acknowledging that</w:t>
      </w:r>
      <w:r w:rsidR="004E04FE">
        <w:rPr>
          <w:rFonts w:eastAsiaTheme="minorEastAsia" w:cs="v5.0.0"/>
          <w:sz w:val="20"/>
          <w:lang w:val="en-US" w:eastAsia="en-US"/>
        </w:rPr>
        <w:t xml:space="preserve"> technical requirements and reference specifications, such as ETSI EN, are designed to implicitly </w:t>
      </w:r>
      <w:r w:rsidR="00BB1D11">
        <w:rPr>
          <w:rFonts w:eastAsiaTheme="minorEastAsia" w:cs="v5.0.0"/>
          <w:sz w:val="20"/>
          <w:lang w:val="en-US" w:eastAsia="en-US"/>
        </w:rPr>
        <w:t>ensure coexistence, for example through requirements for pointing accuracy, on/off-axis emissions and closed-loop monitoring.</w:t>
      </w:r>
    </w:p>
    <w:p w14:paraId="53CB4961" w14:textId="4A0E94E4" w:rsidR="00477EDF" w:rsidRPr="00581BCB" w:rsidRDefault="00477EDF" w:rsidP="006F3972">
      <w:pPr>
        <w:pStyle w:val="Text"/>
        <w:rPr>
          <w:rFonts w:eastAsiaTheme="minorEastAsia" w:cs="v5.0.0"/>
          <w:sz w:val="20"/>
          <w:lang w:val="en-US" w:eastAsia="en-US"/>
        </w:rPr>
      </w:pPr>
    </w:p>
    <w:p w14:paraId="1EC381E3" w14:textId="3F2217D3" w:rsidR="00637D56" w:rsidRDefault="00637D56" w:rsidP="00637D56">
      <w:pPr>
        <w:pStyle w:val="Heading1"/>
        <w:rPr>
          <w:lang w:val="en-US" w:eastAsia="ja-JP"/>
        </w:rPr>
      </w:pPr>
      <w:r>
        <w:rPr>
          <w:lang w:val="en-US" w:eastAsia="ja-JP"/>
        </w:rPr>
        <w:t>Conclusion</w:t>
      </w:r>
    </w:p>
    <w:p w14:paraId="3D2D0B2D" w14:textId="77777777" w:rsidR="00D2443B" w:rsidRDefault="00D2443B" w:rsidP="00D2443B">
      <w:pPr>
        <w:pStyle w:val="Text"/>
        <w:rPr>
          <w:rFonts w:eastAsiaTheme="minorEastAsia" w:cs="v5.0.0"/>
          <w:sz w:val="20"/>
          <w:lang w:val="en-US" w:eastAsia="en-US"/>
        </w:rPr>
      </w:pPr>
      <w:r>
        <w:rPr>
          <w:rFonts w:eastAsiaTheme="minorEastAsia" w:cs="v5.0.0"/>
          <w:b/>
          <w:bCs/>
          <w:sz w:val="20"/>
          <w:lang w:val="en-US" w:eastAsia="en-US"/>
        </w:rPr>
        <w:t xml:space="preserve">Observation 1: </w:t>
      </w:r>
      <w:r>
        <w:rPr>
          <w:rFonts w:eastAsiaTheme="minorEastAsia" w:cs="v5.0.0"/>
          <w:sz w:val="20"/>
          <w:lang w:val="en-US" w:eastAsia="en-US"/>
        </w:rPr>
        <w:t xml:space="preserve">An ESIM or ESOMP can also be informally referred to as a “mobile VSAT” in the FSS spectrum, which is a term that has better applicability from a technical standpoint, because ESIMs and fixed Earth Stations exhibit the same technical characteristics, such as on-/off-axis emission requirements, antenna pointing accuracy requirements and monitoring. </w:t>
      </w:r>
    </w:p>
    <w:p w14:paraId="04128582" w14:textId="449B79C6" w:rsidR="00D2443B" w:rsidRDefault="00D2443B" w:rsidP="00D2443B">
      <w:pPr>
        <w:pStyle w:val="Text"/>
        <w:rPr>
          <w:rFonts w:eastAsiaTheme="minorEastAsia" w:cs="v5.0.0"/>
          <w:sz w:val="20"/>
          <w:lang w:val="en-US" w:eastAsia="en-US"/>
        </w:rPr>
      </w:pPr>
      <w:r>
        <w:rPr>
          <w:rFonts w:eastAsiaTheme="minorEastAsia" w:cs="v5.0.0"/>
          <w:b/>
          <w:bCs/>
          <w:sz w:val="20"/>
          <w:lang w:val="en-US" w:eastAsia="en-US"/>
        </w:rPr>
        <w:t xml:space="preserve">Observation 2: </w:t>
      </w:r>
      <w:r>
        <w:rPr>
          <w:rFonts w:eastAsiaTheme="minorEastAsia" w:cs="v5.0.0"/>
          <w:sz w:val="20"/>
          <w:lang w:val="en-US" w:eastAsia="en-US"/>
        </w:rPr>
        <w:t>According to the ITU-R, ESIMs operate in the FSS spectrum, owing to their common characteristics with fixed Earth Stations.</w:t>
      </w:r>
    </w:p>
    <w:p w14:paraId="1B9B8483" w14:textId="27622FDC" w:rsidR="00DA11A8" w:rsidRPr="009367CC" w:rsidRDefault="00DA11A8" w:rsidP="00D2443B">
      <w:pPr>
        <w:pStyle w:val="Text"/>
        <w:rPr>
          <w:rFonts w:eastAsiaTheme="minorEastAsia" w:cs="v5.0.0"/>
          <w:sz w:val="20"/>
          <w:lang w:val="en-US" w:eastAsia="en-US"/>
        </w:rPr>
      </w:pPr>
      <w:r>
        <w:rPr>
          <w:rFonts w:eastAsiaTheme="minorEastAsia" w:cs="v5.0.0"/>
          <w:b/>
          <w:bCs/>
          <w:sz w:val="20"/>
          <w:lang w:val="en-US" w:eastAsia="en-US"/>
        </w:rPr>
        <w:t>Observation 3:</w:t>
      </w:r>
      <w:r>
        <w:rPr>
          <w:rFonts w:eastAsiaTheme="minorEastAsia" w:cs="v5.0.0"/>
          <w:sz w:val="20"/>
          <w:lang w:val="en-US" w:eastAsia="en-US"/>
        </w:rPr>
        <w:t xml:space="preserve"> </w:t>
      </w:r>
      <w:r w:rsidR="009A0759">
        <w:rPr>
          <w:rFonts w:eastAsiaTheme="minorEastAsia" w:cs="v5.0.0"/>
          <w:sz w:val="20"/>
          <w:lang w:val="en-US" w:eastAsia="en-US"/>
        </w:rPr>
        <w:t xml:space="preserve">WRC-15 </w:t>
      </w:r>
      <w:r w:rsidR="009A0759" w:rsidRPr="009367CC">
        <w:rPr>
          <w:rFonts w:eastAsiaTheme="minorEastAsia" w:cs="v5.0.0"/>
          <w:sz w:val="20"/>
          <w:lang w:val="en-US" w:eastAsia="en-US"/>
        </w:rPr>
        <w:t xml:space="preserve">RESOLUTION 156 </w:t>
      </w:r>
      <w:r w:rsidR="009A0759">
        <w:rPr>
          <w:rFonts w:eastAsiaTheme="minorEastAsia" w:cs="v5.0.0"/>
          <w:sz w:val="20"/>
          <w:lang w:val="en-US" w:eastAsia="en-US"/>
        </w:rPr>
        <w:t xml:space="preserve">and WRC-19 </w:t>
      </w:r>
      <w:r w:rsidR="009A0759" w:rsidRPr="009367CC">
        <w:rPr>
          <w:rFonts w:eastAsiaTheme="minorEastAsia" w:cs="v5.0.0"/>
          <w:sz w:val="20"/>
          <w:lang w:val="en-US" w:eastAsia="en-US"/>
        </w:rPr>
        <w:t>RESOLUTION 169</w:t>
      </w:r>
      <w:r w:rsidR="009A0759">
        <w:rPr>
          <w:rFonts w:eastAsiaTheme="minorEastAsia" w:cs="v5.0.0"/>
          <w:sz w:val="20"/>
          <w:lang w:val="en-US" w:eastAsia="en-US"/>
        </w:rPr>
        <w:t xml:space="preserve"> </w:t>
      </w:r>
      <w:r>
        <w:rPr>
          <w:rFonts w:eastAsiaTheme="minorEastAsia" w:cs="v5.0.0"/>
          <w:sz w:val="20"/>
          <w:lang w:val="en-US" w:eastAsia="en-US"/>
        </w:rPr>
        <w:t>have established the framework for “harmonized Ka band” FSS spectrum applicable to ESIMs in GSO, jointly encompassing 17.7-20.2 GHz DL (space-to-Earth) and 27.5-30.0 GHz UL (Earth-to-space)</w:t>
      </w:r>
    </w:p>
    <w:p w14:paraId="74381CDA" w14:textId="504EF0A8" w:rsidR="00D2443B" w:rsidRPr="006F08C4" w:rsidRDefault="00D2443B" w:rsidP="00D2443B">
      <w:pPr>
        <w:pStyle w:val="Text"/>
        <w:rPr>
          <w:rFonts w:eastAsiaTheme="minorEastAsia" w:cs="v5.0.0"/>
          <w:sz w:val="20"/>
          <w:lang w:val="en-US" w:eastAsia="en-US"/>
        </w:rPr>
      </w:pPr>
      <w:r>
        <w:rPr>
          <w:rFonts w:eastAsiaTheme="minorEastAsia" w:cs="v5.0.0"/>
          <w:b/>
          <w:bCs/>
          <w:sz w:val="20"/>
          <w:lang w:val="en-US" w:eastAsia="en-US"/>
        </w:rPr>
        <w:lastRenderedPageBreak/>
        <w:t xml:space="preserve">Observation </w:t>
      </w:r>
      <w:r w:rsidR="00DA11A8">
        <w:rPr>
          <w:rFonts w:eastAsiaTheme="minorEastAsia" w:cs="v5.0.0"/>
          <w:b/>
          <w:bCs/>
          <w:sz w:val="20"/>
          <w:lang w:val="en-US" w:eastAsia="en-US"/>
        </w:rPr>
        <w:t>4</w:t>
      </w:r>
      <w:r>
        <w:rPr>
          <w:rFonts w:eastAsiaTheme="minorEastAsia" w:cs="v5.0.0"/>
          <w:b/>
          <w:bCs/>
          <w:sz w:val="20"/>
          <w:lang w:val="en-US" w:eastAsia="en-US"/>
        </w:rPr>
        <w:t xml:space="preserve">: </w:t>
      </w:r>
      <w:r>
        <w:rPr>
          <w:rFonts w:eastAsiaTheme="minorEastAsia" w:cs="v5.0.0"/>
          <w:sz w:val="20"/>
          <w:lang w:val="en-US" w:eastAsia="en-US"/>
        </w:rPr>
        <w:t>when considering the FCC definition of “Conventional Ka band” and “Extended Ka band”, the UL (Earth-to-space) range recognized by the FCC for FSS, particularly GSO FSS, effectively fully includes the whole harmonized Ka band UL range of 27.5-30.0 GHz.  As the recognized band segments of 27.5-28.35 GHz, 28.35-28.6 GHz, 28.6-29.1 GHz and 29.25-30.0 GHz</w:t>
      </w:r>
    </w:p>
    <w:p w14:paraId="54532141" w14:textId="6803FA76" w:rsidR="00D2443B" w:rsidRDefault="00D2443B" w:rsidP="00D2443B">
      <w:pPr>
        <w:pStyle w:val="Text"/>
        <w:rPr>
          <w:rFonts w:eastAsiaTheme="minorEastAsia" w:cs="v5.0.0"/>
          <w:sz w:val="20"/>
          <w:lang w:val="en-US" w:eastAsia="en-US"/>
        </w:rPr>
      </w:pPr>
      <w:r>
        <w:rPr>
          <w:rFonts w:eastAsiaTheme="minorEastAsia" w:cs="v5.0.0"/>
          <w:b/>
          <w:bCs/>
          <w:sz w:val="20"/>
          <w:lang w:val="en-US" w:eastAsia="en-US"/>
        </w:rPr>
        <w:t xml:space="preserve">Observation </w:t>
      </w:r>
      <w:r w:rsidR="00DA11A8">
        <w:rPr>
          <w:rFonts w:eastAsiaTheme="minorEastAsia" w:cs="v5.0.0"/>
          <w:b/>
          <w:bCs/>
          <w:sz w:val="20"/>
          <w:lang w:val="en-US" w:eastAsia="en-US"/>
        </w:rPr>
        <w:t>5</w:t>
      </w:r>
      <w:r>
        <w:rPr>
          <w:rFonts w:eastAsiaTheme="minorEastAsia" w:cs="v5.0.0"/>
          <w:b/>
          <w:bCs/>
          <w:sz w:val="20"/>
          <w:lang w:val="en-US" w:eastAsia="en-US"/>
        </w:rPr>
        <w:t xml:space="preserve">: </w:t>
      </w:r>
      <w:r>
        <w:rPr>
          <w:rFonts w:eastAsiaTheme="minorEastAsia" w:cs="v5.0.0"/>
          <w:sz w:val="20"/>
          <w:lang w:val="en-US" w:eastAsia="en-US"/>
        </w:rPr>
        <w:t>the FCC does in fact not prevent satellite operation in the 27.5-28.35 GHz range, it just regulates it.</w:t>
      </w:r>
    </w:p>
    <w:p w14:paraId="7323BB9C" w14:textId="77777777" w:rsidR="00DA11A8" w:rsidRPr="008039B4" w:rsidRDefault="00DA11A8" w:rsidP="00DA11A8">
      <w:pPr>
        <w:pStyle w:val="Text"/>
        <w:rPr>
          <w:rFonts w:eastAsiaTheme="minorEastAsia" w:cs="v5.0.0"/>
          <w:sz w:val="20"/>
          <w:lang w:val="en-US" w:eastAsia="en-US"/>
        </w:rPr>
      </w:pPr>
      <w:r>
        <w:rPr>
          <w:rFonts w:eastAsiaTheme="minorEastAsia" w:cs="v5.0.0"/>
          <w:b/>
          <w:bCs/>
          <w:sz w:val="20"/>
          <w:lang w:val="en-US" w:eastAsia="en-US"/>
        </w:rPr>
        <w:t xml:space="preserve">Observation 6: </w:t>
      </w:r>
      <w:r>
        <w:rPr>
          <w:rFonts w:eastAsiaTheme="minorEastAsia" w:cs="v5.0.0"/>
          <w:sz w:val="20"/>
          <w:lang w:val="en-US" w:eastAsia="en-US"/>
        </w:rPr>
        <w:t>The Ka band FSS space-to-Earth range of 17.3-17.7 GHz could be considered as a future additional NTN band for Ka band</w:t>
      </w:r>
    </w:p>
    <w:p w14:paraId="05177460" w14:textId="2EEEAEC5" w:rsidR="009A0759" w:rsidRDefault="009A0759" w:rsidP="009A0759">
      <w:pPr>
        <w:pStyle w:val="Text"/>
        <w:rPr>
          <w:rFonts w:eastAsiaTheme="minorEastAsia" w:cs="v5.0.0"/>
          <w:sz w:val="20"/>
          <w:lang w:val="en-US" w:eastAsia="en-US"/>
        </w:rPr>
      </w:pPr>
      <w:r>
        <w:rPr>
          <w:rFonts w:eastAsiaTheme="minorEastAsia" w:cs="v5.0.0"/>
          <w:b/>
          <w:bCs/>
          <w:sz w:val="20"/>
          <w:lang w:val="en-US" w:eastAsia="en-US"/>
        </w:rPr>
        <w:t xml:space="preserve">Observation 7: </w:t>
      </w:r>
      <w:r>
        <w:rPr>
          <w:rFonts w:eastAsiaTheme="minorEastAsia" w:cs="v5.0.0"/>
          <w:sz w:val="20"/>
          <w:lang w:val="en-US" w:eastAsia="en-US"/>
        </w:rPr>
        <w:t>The ECC provides a harmonized framework for ESIMs/ESOMPs in Ka band, including the full WRC harmonized Ka band range 17.7-20.2 GHz (DL) and 27.5-30 GHz (UL), plus an additional extension of the DL range including the 17.3-17.7 GHz (DL) range.</w:t>
      </w:r>
    </w:p>
    <w:p w14:paraId="2263EBE4" w14:textId="77777777" w:rsidR="009A0759" w:rsidRDefault="009A0759" w:rsidP="009A0759">
      <w:pPr>
        <w:pStyle w:val="Text"/>
        <w:rPr>
          <w:rFonts w:eastAsiaTheme="minorEastAsia" w:cs="v5.0.0"/>
          <w:sz w:val="20"/>
          <w:lang w:val="en-US" w:eastAsia="en-US"/>
        </w:rPr>
      </w:pPr>
      <w:r>
        <w:rPr>
          <w:rFonts w:eastAsiaTheme="minorEastAsia" w:cs="v5.0.0"/>
          <w:b/>
          <w:bCs/>
          <w:sz w:val="20"/>
          <w:lang w:val="en-US" w:eastAsia="en-US"/>
        </w:rPr>
        <w:t xml:space="preserve">Observation 8: </w:t>
      </w:r>
      <w:r>
        <w:rPr>
          <w:rFonts w:eastAsiaTheme="minorEastAsia" w:cs="v5.0.0"/>
          <w:sz w:val="20"/>
          <w:lang w:val="en-US" w:eastAsia="en-US"/>
        </w:rPr>
        <w:t xml:space="preserve"> The ECC identifies the ability of ESOMPs (aka ESIMs) to operate in the same way as fixed FSS earth stations, and thus to coexist with both other FSS systems, as well as terrestrial systems.</w:t>
      </w:r>
    </w:p>
    <w:p w14:paraId="33DB1AB8" w14:textId="77777777" w:rsidR="00D2443B" w:rsidRDefault="00D2443B" w:rsidP="009D5A39">
      <w:pPr>
        <w:pStyle w:val="Text"/>
        <w:rPr>
          <w:rFonts w:eastAsiaTheme="minorEastAsia" w:cs="v5.0.0"/>
          <w:b/>
          <w:bCs/>
          <w:sz w:val="20"/>
          <w:lang w:eastAsia="en-US"/>
        </w:rPr>
      </w:pPr>
    </w:p>
    <w:p w14:paraId="27400D94" w14:textId="73529891" w:rsidR="000A60F2" w:rsidRDefault="000A60F2" w:rsidP="009D5A39">
      <w:pPr>
        <w:pStyle w:val="Text"/>
        <w:rPr>
          <w:rFonts w:eastAsiaTheme="minorEastAsia" w:cs="v5.0.0"/>
          <w:sz w:val="20"/>
          <w:lang w:val="en-US" w:eastAsia="en-US"/>
        </w:rPr>
      </w:pPr>
      <w:r>
        <w:rPr>
          <w:rFonts w:eastAsiaTheme="minorEastAsia" w:cs="v5.0.0"/>
          <w:b/>
          <w:bCs/>
          <w:sz w:val="20"/>
          <w:lang w:eastAsia="en-US"/>
        </w:rPr>
        <w:t>Proposal 1:</w:t>
      </w:r>
      <w:r w:rsidR="005D60C6">
        <w:rPr>
          <w:rFonts w:eastAsiaTheme="minorEastAsia" w:cs="v5.0.0"/>
          <w:b/>
          <w:bCs/>
          <w:sz w:val="20"/>
          <w:lang w:eastAsia="en-US"/>
        </w:rPr>
        <w:t xml:space="preserve"> </w:t>
      </w:r>
      <w:r w:rsidR="005D60C6">
        <w:rPr>
          <w:rFonts w:eastAsiaTheme="minorEastAsia" w:cs="v5.0.0"/>
          <w:sz w:val="20"/>
          <w:lang w:eastAsia="en-US"/>
        </w:rPr>
        <w:t xml:space="preserve">When considering NTN band definitions for Ka band, RAN4 should </w:t>
      </w:r>
      <w:r w:rsidR="009A0759">
        <w:rPr>
          <w:rFonts w:eastAsiaTheme="minorEastAsia" w:cs="v5.0.0"/>
          <w:sz w:val="20"/>
          <w:lang w:eastAsia="en-US"/>
        </w:rPr>
        <w:t>prioritize</w:t>
      </w:r>
      <w:r w:rsidR="005D60C6">
        <w:rPr>
          <w:rFonts w:eastAsiaTheme="minorEastAsia" w:cs="v5.0.0"/>
          <w:sz w:val="20"/>
          <w:lang w:eastAsia="en-US"/>
        </w:rPr>
        <w:t xml:space="preserve"> the </w:t>
      </w:r>
      <w:r w:rsidR="009A0759">
        <w:rPr>
          <w:rFonts w:eastAsiaTheme="minorEastAsia" w:cs="v5.0.0"/>
          <w:sz w:val="20"/>
          <w:lang w:eastAsia="en-US"/>
        </w:rPr>
        <w:t xml:space="preserve">“harmonized Ka band” range defined by </w:t>
      </w:r>
      <w:r w:rsidR="009A0759">
        <w:rPr>
          <w:rFonts w:eastAsiaTheme="minorEastAsia" w:cs="v5.0.0"/>
          <w:sz w:val="20"/>
          <w:lang w:val="en-US" w:eastAsia="en-US"/>
        </w:rPr>
        <w:t xml:space="preserve">WRC-15 </w:t>
      </w:r>
      <w:r w:rsidR="009A0759" w:rsidRPr="009367CC">
        <w:rPr>
          <w:rFonts w:eastAsiaTheme="minorEastAsia" w:cs="v5.0.0"/>
          <w:sz w:val="20"/>
          <w:lang w:val="en-US" w:eastAsia="en-US"/>
        </w:rPr>
        <w:t xml:space="preserve">RESOLUTION 156 </w:t>
      </w:r>
      <w:r w:rsidR="009A0759">
        <w:rPr>
          <w:rFonts w:eastAsiaTheme="minorEastAsia" w:cs="v5.0.0"/>
          <w:sz w:val="20"/>
          <w:lang w:val="en-US" w:eastAsia="en-US"/>
        </w:rPr>
        <w:t xml:space="preserve">and WRC-19 </w:t>
      </w:r>
      <w:r w:rsidR="009A0759" w:rsidRPr="009367CC">
        <w:rPr>
          <w:rFonts w:eastAsiaTheme="minorEastAsia" w:cs="v5.0.0"/>
          <w:sz w:val="20"/>
          <w:lang w:val="en-US" w:eastAsia="en-US"/>
        </w:rPr>
        <w:t>RESOLUTION 169</w:t>
      </w:r>
      <w:r w:rsidR="009A0759">
        <w:rPr>
          <w:rFonts w:eastAsiaTheme="minorEastAsia" w:cs="v5.0.0"/>
          <w:sz w:val="20"/>
          <w:lang w:val="en-US" w:eastAsia="en-US"/>
        </w:rPr>
        <w:t>.</w:t>
      </w:r>
    </w:p>
    <w:p w14:paraId="42B3DD73" w14:textId="6A074D2C" w:rsidR="00793497" w:rsidRDefault="00793497" w:rsidP="009D5A39">
      <w:pPr>
        <w:pStyle w:val="Text"/>
        <w:rPr>
          <w:rFonts w:eastAsiaTheme="minorEastAsia" w:cs="v5.0.0"/>
          <w:sz w:val="20"/>
          <w:lang w:val="en-US" w:eastAsia="en-US"/>
        </w:rPr>
      </w:pPr>
      <w:r>
        <w:rPr>
          <w:rFonts w:eastAsiaTheme="minorEastAsia" w:cs="v5.0.0"/>
          <w:b/>
          <w:bCs/>
          <w:sz w:val="20"/>
          <w:lang w:val="en-US" w:eastAsia="en-US"/>
        </w:rPr>
        <w:t xml:space="preserve">Proposal 2: </w:t>
      </w:r>
      <w:r>
        <w:rPr>
          <w:rFonts w:eastAsiaTheme="minorEastAsia" w:cs="v5.0.0"/>
          <w:sz w:val="20"/>
          <w:lang w:val="en-US" w:eastAsia="en-US"/>
        </w:rPr>
        <w:t>When considering the NTN FSS Ka band range applicable for the US/FCC market, RAN4 should consider FCC’s definitions of “Conventional Ka band” and “Extended Ka band”, and the 27.5-28.35 GHz should not be excluded</w:t>
      </w:r>
    </w:p>
    <w:p w14:paraId="1A3F7FCC" w14:textId="7C871473" w:rsidR="009A0759" w:rsidRPr="009A0759" w:rsidRDefault="009A0759" w:rsidP="009D5A39">
      <w:pPr>
        <w:pStyle w:val="Text"/>
        <w:rPr>
          <w:rFonts w:eastAsiaTheme="minorEastAsia" w:cs="v5.0.0"/>
          <w:b/>
          <w:bCs/>
          <w:sz w:val="20"/>
          <w:lang w:eastAsia="en-US"/>
        </w:rPr>
      </w:pPr>
      <w:r>
        <w:rPr>
          <w:rFonts w:eastAsiaTheme="minorEastAsia" w:cs="v5.0.0"/>
          <w:b/>
          <w:bCs/>
          <w:sz w:val="20"/>
          <w:lang w:val="en-US" w:eastAsia="en-US"/>
        </w:rPr>
        <w:t xml:space="preserve">Proposal 3: </w:t>
      </w:r>
      <w:r>
        <w:rPr>
          <w:rFonts w:eastAsiaTheme="minorEastAsia" w:cs="v5.0.0"/>
          <w:sz w:val="20"/>
          <w:lang w:val="en-US" w:eastAsia="en-US"/>
        </w:rPr>
        <w:t>The Ka band FSS space-to-Earth range of 17.3-17.7 GHz could be considered as a future additional NTN band for Ka band, since it is sanctioned both by FCC and ECC/CEPT, but should be considered with lower priority compared to the “harmonized Ka band” range.</w:t>
      </w:r>
    </w:p>
    <w:p w14:paraId="3EFC4BB1" w14:textId="77777777" w:rsidR="006673A5" w:rsidRDefault="006673A5" w:rsidP="006673A5">
      <w:pPr>
        <w:pStyle w:val="Text"/>
        <w:rPr>
          <w:rFonts w:eastAsiaTheme="minorEastAsia" w:cs="v5.0.0"/>
          <w:sz w:val="20"/>
          <w:lang w:eastAsia="en-US"/>
        </w:rPr>
      </w:pPr>
      <w:r>
        <w:rPr>
          <w:rFonts w:eastAsiaTheme="minorEastAsia" w:cs="v5.0.0"/>
          <w:b/>
          <w:bCs/>
          <w:sz w:val="20"/>
          <w:lang w:eastAsia="en-US"/>
        </w:rPr>
        <w:t xml:space="preserve">Proposal 4: </w:t>
      </w:r>
      <w:r>
        <w:rPr>
          <w:rFonts w:eastAsiaTheme="minorEastAsia" w:cs="v5.0.0"/>
          <w:sz w:val="20"/>
          <w:lang w:eastAsia="en-US"/>
        </w:rPr>
        <w:t xml:space="preserve"> On/off-axis emission requirements, pointing accuracy requirements, transmission on/off capability and “closed-loop tracking” of beam pointing should be considered when defining the framework for operation of fixed and moving NTN terminals with VSAT characteristics.</w:t>
      </w:r>
    </w:p>
    <w:p w14:paraId="6FF09360" w14:textId="77777777" w:rsidR="006673A5" w:rsidRPr="006F7A2D" w:rsidRDefault="006673A5" w:rsidP="006673A5">
      <w:pPr>
        <w:pStyle w:val="Text"/>
        <w:rPr>
          <w:rFonts w:eastAsiaTheme="minorEastAsia" w:cs="v5.0.0"/>
          <w:sz w:val="20"/>
          <w:lang w:eastAsia="en-US"/>
        </w:rPr>
      </w:pPr>
      <w:r>
        <w:rPr>
          <w:rFonts w:eastAsiaTheme="minorEastAsia" w:cs="v5.0.0"/>
          <w:b/>
          <w:bCs/>
          <w:sz w:val="20"/>
          <w:lang w:eastAsia="en-US"/>
        </w:rPr>
        <w:t xml:space="preserve">Proposal 5: </w:t>
      </w:r>
      <w:r>
        <w:rPr>
          <w:rFonts w:eastAsiaTheme="minorEastAsia" w:cs="v5.0.0"/>
          <w:sz w:val="20"/>
          <w:lang w:eastAsia="en-US"/>
        </w:rPr>
        <w:t xml:space="preserve"> Given that fixed and moving earth stations are considered equivalent from a technical regulatory compliance requirement standpoint by regulators, RAN4 should consider a single common technical framework for both fixed and moving VSAT NTN UEs, considering that fixed NTN VSAT UE can be considered a specific deployment scenario of a general NTN VSAT UE.</w:t>
      </w:r>
    </w:p>
    <w:p w14:paraId="7A669A2C" w14:textId="05F3C294" w:rsidR="000A60F2" w:rsidRPr="00EB42BD" w:rsidRDefault="006673A5" w:rsidP="009D5A39">
      <w:pPr>
        <w:pStyle w:val="Text"/>
        <w:rPr>
          <w:rFonts w:eastAsiaTheme="minorEastAsia" w:cs="v5.0.0"/>
          <w:sz w:val="20"/>
          <w:lang w:eastAsia="en-US"/>
        </w:rPr>
      </w:pPr>
      <w:r>
        <w:rPr>
          <w:rFonts w:eastAsiaTheme="minorEastAsia" w:cs="v5.0.0"/>
          <w:b/>
          <w:bCs/>
          <w:sz w:val="20"/>
          <w:lang w:eastAsia="en-US"/>
        </w:rPr>
        <w:t xml:space="preserve">Proposal 6: </w:t>
      </w:r>
      <w:r>
        <w:rPr>
          <w:rFonts w:eastAsiaTheme="minorEastAsia" w:cs="v5.0.0"/>
          <w:sz w:val="20"/>
          <w:lang w:eastAsia="en-US"/>
        </w:rPr>
        <w:t>Additional case-by-case requirements that are dependent on the scenario could be addressed through Network Signalling (NS)</w:t>
      </w:r>
    </w:p>
    <w:p w14:paraId="2C10C4A6" w14:textId="3A954128" w:rsidR="000A60F2" w:rsidRDefault="000A60F2" w:rsidP="000A60F2">
      <w:pPr>
        <w:pStyle w:val="Text"/>
        <w:rPr>
          <w:rFonts w:eastAsiaTheme="minorEastAsia" w:cs="v5.0.0"/>
          <w:sz w:val="20"/>
          <w:lang w:val="en-US" w:eastAsia="en-US"/>
        </w:rPr>
      </w:pPr>
      <w:r>
        <w:rPr>
          <w:rFonts w:eastAsiaTheme="minorEastAsia" w:cs="v5.0.0"/>
          <w:b/>
          <w:bCs/>
          <w:sz w:val="20"/>
          <w:lang w:val="en-US" w:eastAsia="en-US"/>
        </w:rPr>
        <w:t xml:space="preserve">Proposal </w:t>
      </w:r>
      <w:r w:rsidR="004D2DC9">
        <w:rPr>
          <w:rFonts w:eastAsiaTheme="minorEastAsia" w:cs="v5.0.0"/>
          <w:b/>
          <w:bCs/>
          <w:sz w:val="20"/>
          <w:lang w:val="en-US" w:eastAsia="en-US"/>
        </w:rPr>
        <w:t>7</w:t>
      </w:r>
      <w:r>
        <w:rPr>
          <w:rFonts w:eastAsiaTheme="minorEastAsia" w:cs="v5.0.0"/>
          <w:b/>
          <w:bCs/>
          <w:sz w:val="20"/>
          <w:lang w:val="en-US" w:eastAsia="en-US"/>
        </w:rPr>
        <w:t xml:space="preserve">: </w:t>
      </w:r>
      <w:r>
        <w:rPr>
          <w:rFonts w:eastAsiaTheme="minorEastAsia" w:cs="v5.0.0"/>
          <w:sz w:val="20"/>
          <w:lang w:val="en-US" w:eastAsia="en-US"/>
        </w:rPr>
        <w:t xml:space="preserve"> The following relevant ETSI EN specifications applicable to GSO and NGSO Earth Stations should be taken as references for the identification of requirements for operation of NTN terminals with VSAT characteristics in Ka band: </w:t>
      </w:r>
      <w:r w:rsidRPr="00431B5C">
        <w:rPr>
          <w:rFonts w:eastAsiaTheme="minorEastAsia" w:cs="v5.0.0"/>
          <w:sz w:val="20"/>
          <w:lang w:val="en-US" w:eastAsia="en-US"/>
        </w:rPr>
        <w:t>ETSI EN 301 459</w:t>
      </w:r>
      <w:r>
        <w:rPr>
          <w:rFonts w:eastAsiaTheme="minorEastAsia" w:cs="v5.0.0"/>
          <w:sz w:val="20"/>
          <w:lang w:val="en-US" w:eastAsia="en-US"/>
        </w:rPr>
        <w:t xml:space="preserve">, </w:t>
      </w:r>
      <w:r w:rsidRPr="00360558">
        <w:rPr>
          <w:rFonts w:eastAsiaTheme="minorEastAsia" w:cs="v5.0.0"/>
          <w:sz w:val="20"/>
          <w:lang w:val="en-US" w:eastAsia="en-US"/>
        </w:rPr>
        <w:t>ETSI EN 301 360</w:t>
      </w:r>
      <w:r>
        <w:rPr>
          <w:rFonts w:eastAsiaTheme="minorEastAsia" w:cs="v5.0.0"/>
          <w:sz w:val="20"/>
          <w:lang w:val="en-US" w:eastAsia="en-US"/>
        </w:rPr>
        <w:t xml:space="preserve">, </w:t>
      </w:r>
      <w:r w:rsidRPr="00687D4B">
        <w:rPr>
          <w:rFonts w:eastAsiaTheme="minorEastAsia" w:cs="v5.0.0"/>
          <w:sz w:val="20"/>
          <w:lang w:val="en-US" w:eastAsia="en-US"/>
        </w:rPr>
        <w:t>ETSI EN 303 699</w:t>
      </w:r>
      <w:r>
        <w:rPr>
          <w:rFonts w:eastAsiaTheme="minorEastAsia" w:cs="v5.0.0"/>
          <w:sz w:val="20"/>
          <w:lang w:val="en-US" w:eastAsia="en-US"/>
        </w:rPr>
        <w:t xml:space="preserve">, </w:t>
      </w:r>
      <w:r w:rsidRPr="005A3CDD">
        <w:rPr>
          <w:rFonts w:eastAsiaTheme="minorEastAsia" w:cs="v5.0.0"/>
          <w:sz w:val="20"/>
          <w:lang w:val="en-US" w:eastAsia="en-US"/>
        </w:rPr>
        <w:t>ETSI EN 303 978</w:t>
      </w:r>
      <w:r>
        <w:rPr>
          <w:rFonts w:eastAsiaTheme="minorEastAsia" w:cs="v5.0.0"/>
          <w:sz w:val="20"/>
          <w:lang w:val="en-US" w:eastAsia="en-US"/>
        </w:rPr>
        <w:t xml:space="preserve">, </w:t>
      </w:r>
      <w:r w:rsidRPr="00AA658F">
        <w:rPr>
          <w:rFonts w:eastAsiaTheme="minorEastAsia" w:cs="v5.0.0"/>
          <w:sz w:val="20"/>
          <w:lang w:val="en-US" w:eastAsia="en-US"/>
        </w:rPr>
        <w:t>ETSI EN 303 979</w:t>
      </w:r>
      <w:r>
        <w:rPr>
          <w:rFonts w:eastAsiaTheme="minorEastAsia" w:cs="v5.0.0"/>
          <w:sz w:val="20"/>
          <w:lang w:val="en-US" w:eastAsia="en-US"/>
        </w:rPr>
        <w:t>.</w:t>
      </w:r>
    </w:p>
    <w:p w14:paraId="0DF6A34E" w14:textId="737C498E" w:rsidR="00674770" w:rsidRDefault="000A60F2" w:rsidP="009A0759">
      <w:pPr>
        <w:pStyle w:val="Text"/>
        <w:rPr>
          <w:rFonts w:eastAsiaTheme="minorEastAsia" w:cs="v5.0.0"/>
          <w:sz w:val="20"/>
          <w:lang w:val="en-US" w:eastAsia="en-US"/>
        </w:rPr>
      </w:pPr>
      <w:r>
        <w:rPr>
          <w:rFonts w:eastAsiaTheme="minorEastAsia" w:cs="v5.0.0"/>
          <w:b/>
          <w:bCs/>
          <w:sz w:val="20"/>
          <w:lang w:val="en-US" w:eastAsia="en-US"/>
        </w:rPr>
        <w:t xml:space="preserve">Proposal </w:t>
      </w:r>
      <w:r w:rsidR="004D2DC9">
        <w:rPr>
          <w:rFonts w:eastAsiaTheme="minorEastAsia" w:cs="v5.0.0"/>
          <w:b/>
          <w:bCs/>
          <w:sz w:val="20"/>
          <w:lang w:val="en-US" w:eastAsia="en-US"/>
        </w:rPr>
        <w:t>8</w:t>
      </w:r>
      <w:r>
        <w:rPr>
          <w:rFonts w:eastAsiaTheme="minorEastAsia" w:cs="v5.0.0"/>
          <w:b/>
          <w:bCs/>
          <w:sz w:val="20"/>
          <w:lang w:val="en-US" w:eastAsia="en-US"/>
        </w:rPr>
        <w:t xml:space="preserve">: </w:t>
      </w:r>
      <w:r>
        <w:rPr>
          <w:rFonts w:eastAsiaTheme="minorEastAsia" w:cs="v5.0.0"/>
          <w:sz w:val="20"/>
          <w:lang w:val="en-US" w:eastAsia="en-US"/>
        </w:rPr>
        <w:t>NTN-NTN co-channel coexistence in operation of NTN in Ka band should be considered out of scope of RAN4 activities, whilst acknowledging that technical requirements and reference specifications, such as ETSI EN, are designed to implicitly ensure coexistence, for example through requirements for pointing accuracy, on/off-axis emissions and closed-loop monitoring.</w:t>
      </w:r>
    </w:p>
    <w:p w14:paraId="722D5881" w14:textId="446E7A4D" w:rsidR="00EB42BD" w:rsidRPr="00FA7787" w:rsidRDefault="00EB42BD" w:rsidP="00EB42BD">
      <w:pPr>
        <w:pStyle w:val="Text"/>
        <w:rPr>
          <w:rFonts w:eastAsiaTheme="minorEastAsia" w:cs="v5.0.0"/>
          <w:sz w:val="20"/>
          <w:lang w:eastAsia="en-US"/>
        </w:rPr>
      </w:pPr>
      <w:r>
        <w:rPr>
          <w:rFonts w:eastAsiaTheme="minorEastAsia" w:cs="v5.0.0"/>
          <w:b/>
          <w:bCs/>
          <w:sz w:val="20"/>
          <w:lang w:eastAsia="en-US"/>
        </w:rPr>
        <w:t xml:space="preserve">Proposal 9: </w:t>
      </w:r>
      <w:r>
        <w:rPr>
          <w:rFonts w:eastAsiaTheme="minorEastAsia" w:cs="v5.0.0"/>
          <w:sz w:val="20"/>
          <w:lang w:eastAsia="en-US"/>
        </w:rPr>
        <w:t xml:space="preserve"> When considering future additional NTN band definitions, a DL NTN band definition encompassing the full DL (space-to-Earth) range defined by ECC/CEPT 17.3-20.2 GHz could be additionally  considered</w:t>
      </w:r>
      <w:r w:rsidR="006A6725">
        <w:rPr>
          <w:rFonts w:eastAsiaTheme="minorEastAsia" w:cs="v5.0.0"/>
          <w:sz w:val="20"/>
          <w:lang w:eastAsia="en-US"/>
        </w:rPr>
        <w:t xml:space="preserve"> as a single </w:t>
      </w:r>
      <w:r w:rsidR="00E133DC">
        <w:rPr>
          <w:rFonts w:eastAsiaTheme="minorEastAsia" w:cs="v5.0.0"/>
          <w:sz w:val="20"/>
          <w:lang w:eastAsia="en-US"/>
        </w:rPr>
        <w:t>band instead of separate band segments</w:t>
      </w:r>
    </w:p>
    <w:p w14:paraId="021EC9B8" w14:textId="77777777" w:rsidR="00EB42BD" w:rsidRPr="00674770" w:rsidRDefault="00EB42BD" w:rsidP="009A0759">
      <w:pPr>
        <w:pStyle w:val="Text"/>
        <w:rPr>
          <w:rFonts w:cs="Arial"/>
          <w:bCs/>
          <w:lang w:val="en-US" w:eastAsia="ja-JP"/>
        </w:rPr>
      </w:pPr>
    </w:p>
    <w:sectPr w:rsidR="00EB42BD" w:rsidRPr="0067477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24E7" w14:textId="77777777" w:rsidR="00A652B0" w:rsidRDefault="00A652B0" w:rsidP="00D7424B">
      <w:pPr>
        <w:spacing w:after="0" w:line="240" w:lineRule="auto"/>
      </w:pPr>
      <w:r>
        <w:separator/>
      </w:r>
    </w:p>
  </w:endnote>
  <w:endnote w:type="continuationSeparator" w:id="0">
    <w:p w14:paraId="43B14C76" w14:textId="77777777" w:rsidR="00A652B0" w:rsidRDefault="00A652B0" w:rsidP="00D7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3A41D" w14:textId="77777777" w:rsidR="00A652B0" w:rsidRDefault="00A652B0" w:rsidP="00D7424B">
      <w:pPr>
        <w:spacing w:after="0" w:line="240" w:lineRule="auto"/>
      </w:pPr>
      <w:r>
        <w:separator/>
      </w:r>
    </w:p>
  </w:footnote>
  <w:footnote w:type="continuationSeparator" w:id="0">
    <w:p w14:paraId="10143730" w14:textId="77777777" w:rsidR="00A652B0" w:rsidRDefault="00A652B0" w:rsidP="00D742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6C68DE"/>
    <w:multiLevelType w:val="hybridMultilevel"/>
    <w:tmpl w:val="F3FCCAAA"/>
    <w:lvl w:ilvl="0" w:tplc="990AB218">
      <w:start w:val="2"/>
      <w:numFmt w:val="decimal"/>
      <w:lvlText w:val="%1."/>
      <w:lvlJc w:val="left"/>
      <w:pPr>
        <w:ind w:left="1514" w:hanging="360"/>
      </w:pPr>
      <w:rPr>
        <w:rFonts w:hint="default"/>
      </w:rPr>
    </w:lvl>
    <w:lvl w:ilvl="1" w:tplc="040C0019" w:tentative="1">
      <w:start w:val="1"/>
      <w:numFmt w:val="lowerLetter"/>
      <w:lvlText w:val="%2."/>
      <w:lvlJc w:val="left"/>
      <w:pPr>
        <w:ind w:left="2234" w:hanging="360"/>
      </w:pPr>
    </w:lvl>
    <w:lvl w:ilvl="2" w:tplc="040C001B" w:tentative="1">
      <w:start w:val="1"/>
      <w:numFmt w:val="lowerRoman"/>
      <w:lvlText w:val="%3."/>
      <w:lvlJc w:val="right"/>
      <w:pPr>
        <w:ind w:left="2954" w:hanging="180"/>
      </w:pPr>
    </w:lvl>
    <w:lvl w:ilvl="3" w:tplc="040C000F" w:tentative="1">
      <w:start w:val="1"/>
      <w:numFmt w:val="decimal"/>
      <w:lvlText w:val="%4."/>
      <w:lvlJc w:val="left"/>
      <w:pPr>
        <w:ind w:left="3674" w:hanging="360"/>
      </w:pPr>
    </w:lvl>
    <w:lvl w:ilvl="4" w:tplc="040C0019" w:tentative="1">
      <w:start w:val="1"/>
      <w:numFmt w:val="lowerLetter"/>
      <w:lvlText w:val="%5."/>
      <w:lvlJc w:val="left"/>
      <w:pPr>
        <w:ind w:left="4394" w:hanging="360"/>
      </w:pPr>
    </w:lvl>
    <w:lvl w:ilvl="5" w:tplc="040C001B" w:tentative="1">
      <w:start w:val="1"/>
      <w:numFmt w:val="lowerRoman"/>
      <w:lvlText w:val="%6."/>
      <w:lvlJc w:val="right"/>
      <w:pPr>
        <w:ind w:left="5114" w:hanging="180"/>
      </w:pPr>
    </w:lvl>
    <w:lvl w:ilvl="6" w:tplc="040C000F" w:tentative="1">
      <w:start w:val="1"/>
      <w:numFmt w:val="decimal"/>
      <w:lvlText w:val="%7."/>
      <w:lvlJc w:val="left"/>
      <w:pPr>
        <w:ind w:left="5834" w:hanging="360"/>
      </w:pPr>
    </w:lvl>
    <w:lvl w:ilvl="7" w:tplc="040C0019" w:tentative="1">
      <w:start w:val="1"/>
      <w:numFmt w:val="lowerLetter"/>
      <w:lvlText w:val="%8."/>
      <w:lvlJc w:val="left"/>
      <w:pPr>
        <w:ind w:left="6554" w:hanging="360"/>
      </w:pPr>
    </w:lvl>
    <w:lvl w:ilvl="8" w:tplc="040C001B" w:tentative="1">
      <w:start w:val="1"/>
      <w:numFmt w:val="lowerRoman"/>
      <w:lvlText w:val="%9."/>
      <w:lvlJc w:val="right"/>
      <w:pPr>
        <w:ind w:left="7274" w:hanging="180"/>
      </w:p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1A9214EF"/>
    <w:multiLevelType w:val="hybridMultilevel"/>
    <w:tmpl w:val="3E1C01C4"/>
    <w:lvl w:ilvl="0" w:tplc="2DF4659A">
      <w:start w:val="20"/>
      <w:numFmt w:val="bullet"/>
      <w:lvlText w:val="-"/>
      <w:lvlJc w:val="left"/>
      <w:pPr>
        <w:ind w:left="720" w:hanging="360"/>
      </w:pPr>
      <w:rPr>
        <w:rFonts w:ascii="Times New Roman" w:eastAsia="SimSun" w:hAnsi="Times New Roman" w:cs="Times New Roman" w:hint="default"/>
        <w:strike w:val="0"/>
        <w:dstrike w:val="0"/>
        <w:u w:val="none"/>
        <w:effect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077CFB"/>
    <w:multiLevelType w:val="hybridMultilevel"/>
    <w:tmpl w:val="82988834"/>
    <w:lvl w:ilvl="0" w:tplc="71D0A36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D940FDB"/>
    <w:multiLevelType w:val="hybridMultilevel"/>
    <w:tmpl w:val="9CBEC514"/>
    <w:lvl w:ilvl="0" w:tplc="03BEEC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3F8F21B1"/>
    <w:multiLevelType w:val="hybridMultilevel"/>
    <w:tmpl w:val="00644F3E"/>
    <w:lvl w:ilvl="0" w:tplc="8ED4CE90">
      <w:start w:val="2"/>
      <w:numFmt w:val="decimal"/>
      <w:lvlText w:val="%1."/>
      <w:lvlJc w:val="left"/>
      <w:pPr>
        <w:ind w:left="1154" w:hanging="360"/>
      </w:pPr>
      <w:rPr>
        <w:rFonts w:hint="default"/>
      </w:rPr>
    </w:lvl>
    <w:lvl w:ilvl="1" w:tplc="040C0019" w:tentative="1">
      <w:start w:val="1"/>
      <w:numFmt w:val="lowerLetter"/>
      <w:lvlText w:val="%2."/>
      <w:lvlJc w:val="left"/>
      <w:pPr>
        <w:ind w:left="1874" w:hanging="360"/>
      </w:pPr>
    </w:lvl>
    <w:lvl w:ilvl="2" w:tplc="040C001B" w:tentative="1">
      <w:start w:val="1"/>
      <w:numFmt w:val="lowerRoman"/>
      <w:lvlText w:val="%3."/>
      <w:lvlJc w:val="right"/>
      <w:pPr>
        <w:ind w:left="2594" w:hanging="180"/>
      </w:pPr>
    </w:lvl>
    <w:lvl w:ilvl="3" w:tplc="040C000F" w:tentative="1">
      <w:start w:val="1"/>
      <w:numFmt w:val="decimal"/>
      <w:lvlText w:val="%4."/>
      <w:lvlJc w:val="left"/>
      <w:pPr>
        <w:ind w:left="3314" w:hanging="360"/>
      </w:pPr>
    </w:lvl>
    <w:lvl w:ilvl="4" w:tplc="040C0019" w:tentative="1">
      <w:start w:val="1"/>
      <w:numFmt w:val="lowerLetter"/>
      <w:lvlText w:val="%5."/>
      <w:lvlJc w:val="left"/>
      <w:pPr>
        <w:ind w:left="4034" w:hanging="360"/>
      </w:pPr>
    </w:lvl>
    <w:lvl w:ilvl="5" w:tplc="040C001B" w:tentative="1">
      <w:start w:val="1"/>
      <w:numFmt w:val="lowerRoman"/>
      <w:lvlText w:val="%6."/>
      <w:lvlJc w:val="right"/>
      <w:pPr>
        <w:ind w:left="4754" w:hanging="180"/>
      </w:pPr>
    </w:lvl>
    <w:lvl w:ilvl="6" w:tplc="040C000F" w:tentative="1">
      <w:start w:val="1"/>
      <w:numFmt w:val="decimal"/>
      <w:lvlText w:val="%7."/>
      <w:lvlJc w:val="left"/>
      <w:pPr>
        <w:ind w:left="5474" w:hanging="360"/>
      </w:pPr>
    </w:lvl>
    <w:lvl w:ilvl="7" w:tplc="040C0019" w:tentative="1">
      <w:start w:val="1"/>
      <w:numFmt w:val="lowerLetter"/>
      <w:lvlText w:val="%8."/>
      <w:lvlJc w:val="left"/>
      <w:pPr>
        <w:ind w:left="6194" w:hanging="360"/>
      </w:pPr>
    </w:lvl>
    <w:lvl w:ilvl="8" w:tplc="040C001B" w:tentative="1">
      <w:start w:val="1"/>
      <w:numFmt w:val="lowerRoman"/>
      <w:lvlText w:val="%9."/>
      <w:lvlJc w:val="right"/>
      <w:pPr>
        <w:ind w:left="6914" w:hanging="180"/>
      </w:pPr>
    </w:lvl>
  </w:abstractNum>
  <w:abstractNum w:abstractNumId="9" w15:restartNumberingAfterBreak="0">
    <w:nsid w:val="41A76A59"/>
    <w:multiLevelType w:val="hybridMultilevel"/>
    <w:tmpl w:val="5DBEA0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9731168"/>
    <w:multiLevelType w:val="hybridMultilevel"/>
    <w:tmpl w:val="7504A6C8"/>
    <w:lvl w:ilvl="0" w:tplc="D5B8828A">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2508844">
    <w:abstractNumId w:val="6"/>
  </w:num>
  <w:num w:numId="2" w16cid:durableId="314376944">
    <w:abstractNumId w:val="10"/>
  </w:num>
  <w:num w:numId="3" w16cid:durableId="1775050872">
    <w:abstractNumId w:val="4"/>
  </w:num>
  <w:num w:numId="4" w16cid:durableId="1949971027">
    <w:abstractNumId w:val="2"/>
  </w:num>
  <w:num w:numId="5" w16cid:durableId="1886092300">
    <w:abstractNumId w:val="7"/>
  </w:num>
  <w:num w:numId="6" w16cid:durableId="2021154445">
    <w:abstractNumId w:val="8"/>
  </w:num>
  <w:num w:numId="7" w16cid:durableId="1784227388">
    <w:abstractNumId w:val="1"/>
  </w:num>
  <w:num w:numId="8" w16cid:durableId="1034816450">
    <w:abstractNumId w:val="11"/>
  </w:num>
  <w:num w:numId="9" w16cid:durableId="53630730">
    <w:abstractNumId w:val="5"/>
  </w:num>
  <w:num w:numId="10" w16cid:durableId="766461271">
    <w:abstractNumId w:val="3"/>
  </w:num>
  <w:num w:numId="11" w16cid:durableId="1017584562">
    <w:abstractNumId w:val="9"/>
  </w:num>
  <w:num w:numId="12" w16cid:durableId="303126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035D"/>
    <w:rsid w:val="00004165"/>
    <w:rsid w:val="0000427A"/>
    <w:rsid w:val="0000486D"/>
    <w:rsid w:val="00006466"/>
    <w:rsid w:val="00007A54"/>
    <w:rsid w:val="00013BA0"/>
    <w:rsid w:val="00014660"/>
    <w:rsid w:val="00014C80"/>
    <w:rsid w:val="00016772"/>
    <w:rsid w:val="00016ED8"/>
    <w:rsid w:val="00017B5E"/>
    <w:rsid w:val="00020069"/>
    <w:rsid w:val="00020C56"/>
    <w:rsid w:val="000216B6"/>
    <w:rsid w:val="00021B80"/>
    <w:rsid w:val="000233E8"/>
    <w:rsid w:val="00026ACC"/>
    <w:rsid w:val="0003012F"/>
    <w:rsid w:val="000312BC"/>
    <w:rsid w:val="0003171D"/>
    <w:rsid w:val="00031A1B"/>
    <w:rsid w:val="00031C1D"/>
    <w:rsid w:val="000348D5"/>
    <w:rsid w:val="00035C50"/>
    <w:rsid w:val="00036389"/>
    <w:rsid w:val="00043392"/>
    <w:rsid w:val="000457A1"/>
    <w:rsid w:val="00046B24"/>
    <w:rsid w:val="00047C2E"/>
    <w:rsid w:val="00050001"/>
    <w:rsid w:val="00051605"/>
    <w:rsid w:val="00051C8B"/>
    <w:rsid w:val="00052041"/>
    <w:rsid w:val="0005326A"/>
    <w:rsid w:val="0005601F"/>
    <w:rsid w:val="00056042"/>
    <w:rsid w:val="0006266D"/>
    <w:rsid w:val="0006296E"/>
    <w:rsid w:val="00065506"/>
    <w:rsid w:val="00065C95"/>
    <w:rsid w:val="00065E45"/>
    <w:rsid w:val="00065FD5"/>
    <w:rsid w:val="0007053F"/>
    <w:rsid w:val="0007200E"/>
    <w:rsid w:val="00072117"/>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2717"/>
    <w:rsid w:val="000A4121"/>
    <w:rsid w:val="000A4AA3"/>
    <w:rsid w:val="000A550E"/>
    <w:rsid w:val="000A60F2"/>
    <w:rsid w:val="000A65CD"/>
    <w:rsid w:val="000B0960"/>
    <w:rsid w:val="000B1A55"/>
    <w:rsid w:val="000B20BB"/>
    <w:rsid w:val="000B2EF6"/>
    <w:rsid w:val="000B2FA6"/>
    <w:rsid w:val="000B3ED4"/>
    <w:rsid w:val="000B43A1"/>
    <w:rsid w:val="000B4AA0"/>
    <w:rsid w:val="000B670F"/>
    <w:rsid w:val="000B6BB1"/>
    <w:rsid w:val="000B7675"/>
    <w:rsid w:val="000B791B"/>
    <w:rsid w:val="000C1A54"/>
    <w:rsid w:val="000C1BFE"/>
    <w:rsid w:val="000C1DAD"/>
    <w:rsid w:val="000C1F51"/>
    <w:rsid w:val="000C2553"/>
    <w:rsid w:val="000C2AC1"/>
    <w:rsid w:val="000C38C3"/>
    <w:rsid w:val="000C43C0"/>
    <w:rsid w:val="000C5010"/>
    <w:rsid w:val="000C6700"/>
    <w:rsid w:val="000D09FD"/>
    <w:rsid w:val="000D1277"/>
    <w:rsid w:val="000D1E52"/>
    <w:rsid w:val="000D44FB"/>
    <w:rsid w:val="000D574B"/>
    <w:rsid w:val="000D6CFC"/>
    <w:rsid w:val="000E537B"/>
    <w:rsid w:val="000E57D0"/>
    <w:rsid w:val="000E7858"/>
    <w:rsid w:val="000F0CB1"/>
    <w:rsid w:val="000F0F8D"/>
    <w:rsid w:val="000F1791"/>
    <w:rsid w:val="000F1F67"/>
    <w:rsid w:val="000F282B"/>
    <w:rsid w:val="000F39CA"/>
    <w:rsid w:val="000F48D6"/>
    <w:rsid w:val="000F4BA2"/>
    <w:rsid w:val="00101EED"/>
    <w:rsid w:val="001053A5"/>
    <w:rsid w:val="00105F54"/>
    <w:rsid w:val="001075D5"/>
    <w:rsid w:val="00107927"/>
    <w:rsid w:val="00110007"/>
    <w:rsid w:val="0011001A"/>
    <w:rsid w:val="00110E26"/>
    <w:rsid w:val="00111321"/>
    <w:rsid w:val="0011166E"/>
    <w:rsid w:val="00113D52"/>
    <w:rsid w:val="0011492D"/>
    <w:rsid w:val="00115062"/>
    <w:rsid w:val="00117BD6"/>
    <w:rsid w:val="00120598"/>
    <w:rsid w:val="001206C2"/>
    <w:rsid w:val="00121950"/>
    <w:rsid w:val="00121978"/>
    <w:rsid w:val="00122BDA"/>
    <w:rsid w:val="00123422"/>
    <w:rsid w:val="00124311"/>
    <w:rsid w:val="00124B6A"/>
    <w:rsid w:val="00127574"/>
    <w:rsid w:val="00130B82"/>
    <w:rsid w:val="00130FFB"/>
    <w:rsid w:val="00131766"/>
    <w:rsid w:val="001350D6"/>
    <w:rsid w:val="00136D4C"/>
    <w:rsid w:val="00140D74"/>
    <w:rsid w:val="00141F25"/>
    <w:rsid w:val="001421F7"/>
    <w:rsid w:val="00142538"/>
    <w:rsid w:val="00142BB9"/>
    <w:rsid w:val="0014458C"/>
    <w:rsid w:val="00144F96"/>
    <w:rsid w:val="00150481"/>
    <w:rsid w:val="00151EAC"/>
    <w:rsid w:val="00153528"/>
    <w:rsid w:val="00154E68"/>
    <w:rsid w:val="001560BB"/>
    <w:rsid w:val="00156B87"/>
    <w:rsid w:val="00160907"/>
    <w:rsid w:val="00160C7B"/>
    <w:rsid w:val="001613B2"/>
    <w:rsid w:val="00162548"/>
    <w:rsid w:val="00165240"/>
    <w:rsid w:val="001669A4"/>
    <w:rsid w:val="00166D86"/>
    <w:rsid w:val="001711AB"/>
    <w:rsid w:val="001715ED"/>
    <w:rsid w:val="00172183"/>
    <w:rsid w:val="001726B6"/>
    <w:rsid w:val="00173D0A"/>
    <w:rsid w:val="0017517B"/>
    <w:rsid w:val="001751AB"/>
    <w:rsid w:val="00175A3F"/>
    <w:rsid w:val="00177094"/>
    <w:rsid w:val="0018030C"/>
    <w:rsid w:val="00180E09"/>
    <w:rsid w:val="0018109D"/>
    <w:rsid w:val="00183D4C"/>
    <w:rsid w:val="00183F6D"/>
    <w:rsid w:val="0018670E"/>
    <w:rsid w:val="00187EF3"/>
    <w:rsid w:val="0019212C"/>
    <w:rsid w:val="0019219A"/>
    <w:rsid w:val="00192C60"/>
    <w:rsid w:val="001948F0"/>
    <w:rsid w:val="00195077"/>
    <w:rsid w:val="00197A85"/>
    <w:rsid w:val="001A033F"/>
    <w:rsid w:val="001A08AA"/>
    <w:rsid w:val="001A59CB"/>
    <w:rsid w:val="001A672F"/>
    <w:rsid w:val="001B1942"/>
    <w:rsid w:val="001B2CC9"/>
    <w:rsid w:val="001B7991"/>
    <w:rsid w:val="001C07FB"/>
    <w:rsid w:val="001C0E13"/>
    <w:rsid w:val="001C1144"/>
    <w:rsid w:val="001C1409"/>
    <w:rsid w:val="001C186A"/>
    <w:rsid w:val="001C2AE6"/>
    <w:rsid w:val="001C4A89"/>
    <w:rsid w:val="001C5EE0"/>
    <w:rsid w:val="001C6177"/>
    <w:rsid w:val="001D0363"/>
    <w:rsid w:val="001D12B4"/>
    <w:rsid w:val="001D1948"/>
    <w:rsid w:val="001D3201"/>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0F21"/>
    <w:rsid w:val="0021115E"/>
    <w:rsid w:val="00211CA7"/>
    <w:rsid w:val="00212CF7"/>
    <w:rsid w:val="002138EA"/>
    <w:rsid w:val="00213F84"/>
    <w:rsid w:val="0021405C"/>
    <w:rsid w:val="00214061"/>
    <w:rsid w:val="00214FBD"/>
    <w:rsid w:val="00216809"/>
    <w:rsid w:val="00222897"/>
    <w:rsid w:val="00222B0C"/>
    <w:rsid w:val="00225F9D"/>
    <w:rsid w:val="00230411"/>
    <w:rsid w:val="00233BED"/>
    <w:rsid w:val="00235394"/>
    <w:rsid w:val="00235577"/>
    <w:rsid w:val="00236729"/>
    <w:rsid w:val="002371B2"/>
    <w:rsid w:val="00241203"/>
    <w:rsid w:val="00243075"/>
    <w:rsid w:val="002435CA"/>
    <w:rsid w:val="0024469F"/>
    <w:rsid w:val="00244745"/>
    <w:rsid w:val="00250B5B"/>
    <w:rsid w:val="00251BC1"/>
    <w:rsid w:val="00251BCA"/>
    <w:rsid w:val="00252DB8"/>
    <w:rsid w:val="002537BC"/>
    <w:rsid w:val="002539BA"/>
    <w:rsid w:val="00255C58"/>
    <w:rsid w:val="002566A7"/>
    <w:rsid w:val="00257BB4"/>
    <w:rsid w:val="00260EC7"/>
    <w:rsid w:val="00261539"/>
    <w:rsid w:val="0026179F"/>
    <w:rsid w:val="00263B01"/>
    <w:rsid w:val="00264E65"/>
    <w:rsid w:val="002666AE"/>
    <w:rsid w:val="002720F7"/>
    <w:rsid w:val="00273233"/>
    <w:rsid w:val="00273609"/>
    <w:rsid w:val="00274E1A"/>
    <w:rsid w:val="00276A45"/>
    <w:rsid w:val="002775B1"/>
    <w:rsid w:val="002775B9"/>
    <w:rsid w:val="00277964"/>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4BFB"/>
    <w:rsid w:val="002B516C"/>
    <w:rsid w:val="002B5E1D"/>
    <w:rsid w:val="002B60C1"/>
    <w:rsid w:val="002B628F"/>
    <w:rsid w:val="002B62F9"/>
    <w:rsid w:val="002B7252"/>
    <w:rsid w:val="002C13BF"/>
    <w:rsid w:val="002C2588"/>
    <w:rsid w:val="002C2971"/>
    <w:rsid w:val="002C4B52"/>
    <w:rsid w:val="002D03E5"/>
    <w:rsid w:val="002D06BD"/>
    <w:rsid w:val="002D0ED4"/>
    <w:rsid w:val="002D127E"/>
    <w:rsid w:val="002D2B28"/>
    <w:rsid w:val="002D2FA0"/>
    <w:rsid w:val="002D36EB"/>
    <w:rsid w:val="002D3A6E"/>
    <w:rsid w:val="002D6BDF"/>
    <w:rsid w:val="002E0E72"/>
    <w:rsid w:val="002E0F65"/>
    <w:rsid w:val="002E107E"/>
    <w:rsid w:val="002E2CE9"/>
    <w:rsid w:val="002E3A2D"/>
    <w:rsid w:val="002E3BF7"/>
    <w:rsid w:val="002E403E"/>
    <w:rsid w:val="002E4C74"/>
    <w:rsid w:val="002E6944"/>
    <w:rsid w:val="002E7C57"/>
    <w:rsid w:val="002F0DD4"/>
    <w:rsid w:val="002F0F03"/>
    <w:rsid w:val="002F158C"/>
    <w:rsid w:val="002F1805"/>
    <w:rsid w:val="002F4093"/>
    <w:rsid w:val="002F5636"/>
    <w:rsid w:val="002F649C"/>
    <w:rsid w:val="002F6EA4"/>
    <w:rsid w:val="00300618"/>
    <w:rsid w:val="003022A5"/>
    <w:rsid w:val="00305237"/>
    <w:rsid w:val="0030650B"/>
    <w:rsid w:val="00307E51"/>
    <w:rsid w:val="00311363"/>
    <w:rsid w:val="003138DB"/>
    <w:rsid w:val="0031439B"/>
    <w:rsid w:val="00315867"/>
    <w:rsid w:val="003176EB"/>
    <w:rsid w:val="00320A86"/>
    <w:rsid w:val="00320E61"/>
    <w:rsid w:val="00321150"/>
    <w:rsid w:val="003227DF"/>
    <w:rsid w:val="003247E3"/>
    <w:rsid w:val="00324CBF"/>
    <w:rsid w:val="00325CA6"/>
    <w:rsid w:val="003260D7"/>
    <w:rsid w:val="003265E1"/>
    <w:rsid w:val="00326689"/>
    <w:rsid w:val="00335FFC"/>
    <w:rsid w:val="00336697"/>
    <w:rsid w:val="00336FB2"/>
    <w:rsid w:val="0033728C"/>
    <w:rsid w:val="003418CB"/>
    <w:rsid w:val="0034382F"/>
    <w:rsid w:val="00344949"/>
    <w:rsid w:val="003474BE"/>
    <w:rsid w:val="00351CB7"/>
    <w:rsid w:val="00355873"/>
    <w:rsid w:val="0035660F"/>
    <w:rsid w:val="00360558"/>
    <w:rsid w:val="00362825"/>
    <w:rsid w:val="003628B9"/>
    <w:rsid w:val="00362D8F"/>
    <w:rsid w:val="00366A73"/>
    <w:rsid w:val="00367724"/>
    <w:rsid w:val="00367B4A"/>
    <w:rsid w:val="00370ABE"/>
    <w:rsid w:val="003710BA"/>
    <w:rsid w:val="003724B0"/>
    <w:rsid w:val="00372F59"/>
    <w:rsid w:val="0037415A"/>
    <w:rsid w:val="0037600E"/>
    <w:rsid w:val="003770F6"/>
    <w:rsid w:val="00377308"/>
    <w:rsid w:val="00383E37"/>
    <w:rsid w:val="00384DFC"/>
    <w:rsid w:val="00385015"/>
    <w:rsid w:val="00385B28"/>
    <w:rsid w:val="003904CC"/>
    <w:rsid w:val="003923DB"/>
    <w:rsid w:val="00393042"/>
    <w:rsid w:val="0039387F"/>
    <w:rsid w:val="00394988"/>
    <w:rsid w:val="00394AD5"/>
    <w:rsid w:val="003955E8"/>
    <w:rsid w:val="0039642D"/>
    <w:rsid w:val="003A0F13"/>
    <w:rsid w:val="003A2E3A"/>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086"/>
    <w:rsid w:val="003D28BF"/>
    <w:rsid w:val="003D3C95"/>
    <w:rsid w:val="003D3CEF"/>
    <w:rsid w:val="003D4215"/>
    <w:rsid w:val="003D4C47"/>
    <w:rsid w:val="003D51F1"/>
    <w:rsid w:val="003D7719"/>
    <w:rsid w:val="003E10FB"/>
    <w:rsid w:val="003E2FD1"/>
    <w:rsid w:val="003E40EE"/>
    <w:rsid w:val="003E59F6"/>
    <w:rsid w:val="003E5C79"/>
    <w:rsid w:val="003E71C7"/>
    <w:rsid w:val="003E7213"/>
    <w:rsid w:val="003F1C1B"/>
    <w:rsid w:val="003F224E"/>
    <w:rsid w:val="003F2B3D"/>
    <w:rsid w:val="003F3A2F"/>
    <w:rsid w:val="003F4EDB"/>
    <w:rsid w:val="003F6A36"/>
    <w:rsid w:val="00401144"/>
    <w:rsid w:val="00404831"/>
    <w:rsid w:val="004060E9"/>
    <w:rsid w:val="00406ED4"/>
    <w:rsid w:val="00407661"/>
    <w:rsid w:val="00410314"/>
    <w:rsid w:val="00412063"/>
    <w:rsid w:val="00412EB1"/>
    <w:rsid w:val="00413DDE"/>
    <w:rsid w:val="00414118"/>
    <w:rsid w:val="00416084"/>
    <w:rsid w:val="004206C0"/>
    <w:rsid w:val="00424F8C"/>
    <w:rsid w:val="00425766"/>
    <w:rsid w:val="004260BD"/>
    <w:rsid w:val="00426222"/>
    <w:rsid w:val="004271BA"/>
    <w:rsid w:val="00430497"/>
    <w:rsid w:val="00430EA5"/>
    <w:rsid w:val="00431B5C"/>
    <w:rsid w:val="004325A7"/>
    <w:rsid w:val="00434696"/>
    <w:rsid w:val="00434C18"/>
    <w:rsid w:val="00434DC1"/>
    <w:rsid w:val="00434FA5"/>
    <w:rsid w:val="004350F4"/>
    <w:rsid w:val="00437BC3"/>
    <w:rsid w:val="00437DBE"/>
    <w:rsid w:val="004412A0"/>
    <w:rsid w:val="00442337"/>
    <w:rsid w:val="004427A0"/>
    <w:rsid w:val="004437A2"/>
    <w:rsid w:val="00445C36"/>
    <w:rsid w:val="00446408"/>
    <w:rsid w:val="004507E9"/>
    <w:rsid w:val="00450F27"/>
    <w:rsid w:val="004510E5"/>
    <w:rsid w:val="00451F79"/>
    <w:rsid w:val="004521A0"/>
    <w:rsid w:val="00456A75"/>
    <w:rsid w:val="00461E39"/>
    <w:rsid w:val="00462D3A"/>
    <w:rsid w:val="00463521"/>
    <w:rsid w:val="004637FE"/>
    <w:rsid w:val="004655C1"/>
    <w:rsid w:val="00465CB3"/>
    <w:rsid w:val="00471125"/>
    <w:rsid w:val="00474073"/>
    <w:rsid w:val="0047437A"/>
    <w:rsid w:val="004777B4"/>
    <w:rsid w:val="00477EDF"/>
    <w:rsid w:val="00480E42"/>
    <w:rsid w:val="00483C25"/>
    <w:rsid w:val="00484C5D"/>
    <w:rsid w:val="00484DD9"/>
    <w:rsid w:val="0048543E"/>
    <w:rsid w:val="004857FF"/>
    <w:rsid w:val="004868C1"/>
    <w:rsid w:val="00486D64"/>
    <w:rsid w:val="0048750F"/>
    <w:rsid w:val="004903E3"/>
    <w:rsid w:val="004915E3"/>
    <w:rsid w:val="00492697"/>
    <w:rsid w:val="00492C50"/>
    <w:rsid w:val="00493AFB"/>
    <w:rsid w:val="00495B55"/>
    <w:rsid w:val="00495D93"/>
    <w:rsid w:val="00497C87"/>
    <w:rsid w:val="004A11FB"/>
    <w:rsid w:val="004A495F"/>
    <w:rsid w:val="004A7544"/>
    <w:rsid w:val="004A755F"/>
    <w:rsid w:val="004B0CDC"/>
    <w:rsid w:val="004B1D33"/>
    <w:rsid w:val="004B2876"/>
    <w:rsid w:val="004B316D"/>
    <w:rsid w:val="004B4489"/>
    <w:rsid w:val="004B4E6C"/>
    <w:rsid w:val="004B5C3F"/>
    <w:rsid w:val="004B6B0F"/>
    <w:rsid w:val="004B713B"/>
    <w:rsid w:val="004C001D"/>
    <w:rsid w:val="004C18CE"/>
    <w:rsid w:val="004C303D"/>
    <w:rsid w:val="004C54E5"/>
    <w:rsid w:val="004C7DC8"/>
    <w:rsid w:val="004D21B0"/>
    <w:rsid w:val="004D2DC9"/>
    <w:rsid w:val="004D36AB"/>
    <w:rsid w:val="004D4405"/>
    <w:rsid w:val="004D6F6D"/>
    <w:rsid w:val="004D737D"/>
    <w:rsid w:val="004E04FE"/>
    <w:rsid w:val="004E0561"/>
    <w:rsid w:val="004E2659"/>
    <w:rsid w:val="004E3343"/>
    <w:rsid w:val="004E39EE"/>
    <w:rsid w:val="004E3EC1"/>
    <w:rsid w:val="004E46D5"/>
    <w:rsid w:val="004E475C"/>
    <w:rsid w:val="004E56E0"/>
    <w:rsid w:val="004E5773"/>
    <w:rsid w:val="004E5790"/>
    <w:rsid w:val="004E6FF5"/>
    <w:rsid w:val="004E7329"/>
    <w:rsid w:val="004F273E"/>
    <w:rsid w:val="004F2CB0"/>
    <w:rsid w:val="004F529B"/>
    <w:rsid w:val="004F5859"/>
    <w:rsid w:val="005017F7"/>
    <w:rsid w:val="00501FA7"/>
    <w:rsid w:val="005034DC"/>
    <w:rsid w:val="00503CAA"/>
    <w:rsid w:val="00504127"/>
    <w:rsid w:val="00505BFA"/>
    <w:rsid w:val="00506580"/>
    <w:rsid w:val="005067C7"/>
    <w:rsid w:val="005071B4"/>
    <w:rsid w:val="00507687"/>
    <w:rsid w:val="005117A9"/>
    <w:rsid w:val="00511F57"/>
    <w:rsid w:val="00515173"/>
    <w:rsid w:val="00515CBE"/>
    <w:rsid w:val="00515E2B"/>
    <w:rsid w:val="005178F2"/>
    <w:rsid w:val="0052099F"/>
    <w:rsid w:val="00521F0F"/>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48E"/>
    <w:rsid w:val="005508EF"/>
    <w:rsid w:val="00551997"/>
    <w:rsid w:val="00552EE7"/>
    <w:rsid w:val="005536FD"/>
    <w:rsid w:val="005544D8"/>
    <w:rsid w:val="00555327"/>
    <w:rsid w:val="00555A8A"/>
    <w:rsid w:val="005614BB"/>
    <w:rsid w:val="0056253C"/>
    <w:rsid w:val="0056343E"/>
    <w:rsid w:val="00564219"/>
    <w:rsid w:val="0056453C"/>
    <w:rsid w:val="00566373"/>
    <w:rsid w:val="00567ACF"/>
    <w:rsid w:val="0057013C"/>
    <w:rsid w:val="00571777"/>
    <w:rsid w:val="00580A7D"/>
    <w:rsid w:val="00580FF5"/>
    <w:rsid w:val="00581BCB"/>
    <w:rsid w:val="00581C33"/>
    <w:rsid w:val="00583E98"/>
    <w:rsid w:val="0058519C"/>
    <w:rsid w:val="00590F7C"/>
    <w:rsid w:val="0059149A"/>
    <w:rsid w:val="005929CD"/>
    <w:rsid w:val="005956EE"/>
    <w:rsid w:val="005A083E"/>
    <w:rsid w:val="005A196B"/>
    <w:rsid w:val="005A228A"/>
    <w:rsid w:val="005A3886"/>
    <w:rsid w:val="005A3AE8"/>
    <w:rsid w:val="005A3CDD"/>
    <w:rsid w:val="005A596F"/>
    <w:rsid w:val="005A6DAB"/>
    <w:rsid w:val="005B4802"/>
    <w:rsid w:val="005C19DA"/>
    <w:rsid w:val="005C1EA6"/>
    <w:rsid w:val="005C773A"/>
    <w:rsid w:val="005C7D81"/>
    <w:rsid w:val="005D0B99"/>
    <w:rsid w:val="005D308E"/>
    <w:rsid w:val="005D3A48"/>
    <w:rsid w:val="005D5C85"/>
    <w:rsid w:val="005D60C6"/>
    <w:rsid w:val="005D7AF8"/>
    <w:rsid w:val="005E1365"/>
    <w:rsid w:val="005E17BF"/>
    <w:rsid w:val="005E366A"/>
    <w:rsid w:val="005E37F4"/>
    <w:rsid w:val="005F1487"/>
    <w:rsid w:val="005F20FA"/>
    <w:rsid w:val="005F2145"/>
    <w:rsid w:val="005F219E"/>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179B"/>
    <w:rsid w:val="006334F8"/>
    <w:rsid w:val="006363BD"/>
    <w:rsid w:val="00636654"/>
    <w:rsid w:val="00636FF2"/>
    <w:rsid w:val="006378F9"/>
    <w:rsid w:val="00637D56"/>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3A5"/>
    <w:rsid w:val="00667B70"/>
    <w:rsid w:val="006712F7"/>
    <w:rsid w:val="00672307"/>
    <w:rsid w:val="00674770"/>
    <w:rsid w:val="00675D0C"/>
    <w:rsid w:val="006808C6"/>
    <w:rsid w:val="00680B38"/>
    <w:rsid w:val="0068130D"/>
    <w:rsid w:val="00681DC6"/>
    <w:rsid w:val="00682668"/>
    <w:rsid w:val="0068405D"/>
    <w:rsid w:val="0068412D"/>
    <w:rsid w:val="00687D4B"/>
    <w:rsid w:val="00687DD7"/>
    <w:rsid w:val="00692897"/>
    <w:rsid w:val="00692A68"/>
    <w:rsid w:val="00692EB5"/>
    <w:rsid w:val="00695014"/>
    <w:rsid w:val="006952F2"/>
    <w:rsid w:val="00695CCF"/>
    <w:rsid w:val="00695D85"/>
    <w:rsid w:val="006A0B8B"/>
    <w:rsid w:val="006A23BC"/>
    <w:rsid w:val="006A30A2"/>
    <w:rsid w:val="006A5A92"/>
    <w:rsid w:val="006A6725"/>
    <w:rsid w:val="006A6D23"/>
    <w:rsid w:val="006B0A3A"/>
    <w:rsid w:val="006B25DE"/>
    <w:rsid w:val="006B2A0E"/>
    <w:rsid w:val="006B407D"/>
    <w:rsid w:val="006B56FD"/>
    <w:rsid w:val="006C0C86"/>
    <w:rsid w:val="006C1C3B"/>
    <w:rsid w:val="006C38B6"/>
    <w:rsid w:val="006C4E43"/>
    <w:rsid w:val="006C51BA"/>
    <w:rsid w:val="006C643E"/>
    <w:rsid w:val="006C64B6"/>
    <w:rsid w:val="006C6B2C"/>
    <w:rsid w:val="006D2932"/>
    <w:rsid w:val="006D3671"/>
    <w:rsid w:val="006D4176"/>
    <w:rsid w:val="006D75E6"/>
    <w:rsid w:val="006E069B"/>
    <w:rsid w:val="006E0A73"/>
    <w:rsid w:val="006E0FEE"/>
    <w:rsid w:val="006E3276"/>
    <w:rsid w:val="006E3359"/>
    <w:rsid w:val="006E5DD3"/>
    <w:rsid w:val="006E6C11"/>
    <w:rsid w:val="006E6F58"/>
    <w:rsid w:val="006F3848"/>
    <w:rsid w:val="006F3972"/>
    <w:rsid w:val="006F5BF2"/>
    <w:rsid w:val="006F689E"/>
    <w:rsid w:val="006F7A2D"/>
    <w:rsid w:val="006F7C0C"/>
    <w:rsid w:val="00700755"/>
    <w:rsid w:val="00701BEA"/>
    <w:rsid w:val="0070545B"/>
    <w:rsid w:val="0070646B"/>
    <w:rsid w:val="0071007B"/>
    <w:rsid w:val="00712C00"/>
    <w:rsid w:val="007130A2"/>
    <w:rsid w:val="00715146"/>
    <w:rsid w:val="00715463"/>
    <w:rsid w:val="00720257"/>
    <w:rsid w:val="0072326B"/>
    <w:rsid w:val="007232B4"/>
    <w:rsid w:val="007275A5"/>
    <w:rsid w:val="00730655"/>
    <w:rsid w:val="00731547"/>
    <w:rsid w:val="00731D77"/>
    <w:rsid w:val="00732360"/>
    <w:rsid w:val="007331A7"/>
    <w:rsid w:val="0073390A"/>
    <w:rsid w:val="00734DBD"/>
    <w:rsid w:val="00734E64"/>
    <w:rsid w:val="00736B37"/>
    <w:rsid w:val="00740A35"/>
    <w:rsid w:val="00740C88"/>
    <w:rsid w:val="00740EDE"/>
    <w:rsid w:val="00743315"/>
    <w:rsid w:val="00743DE7"/>
    <w:rsid w:val="0074475B"/>
    <w:rsid w:val="00744EA5"/>
    <w:rsid w:val="007456F8"/>
    <w:rsid w:val="007520B4"/>
    <w:rsid w:val="00755F22"/>
    <w:rsid w:val="0075777C"/>
    <w:rsid w:val="00761C0C"/>
    <w:rsid w:val="007655D5"/>
    <w:rsid w:val="00765F5A"/>
    <w:rsid w:val="00767F1B"/>
    <w:rsid w:val="00771AC3"/>
    <w:rsid w:val="00771CDE"/>
    <w:rsid w:val="00775FBF"/>
    <w:rsid w:val="007763C1"/>
    <w:rsid w:val="00777E82"/>
    <w:rsid w:val="007804EA"/>
    <w:rsid w:val="00781192"/>
    <w:rsid w:val="00781359"/>
    <w:rsid w:val="00783072"/>
    <w:rsid w:val="00786921"/>
    <w:rsid w:val="007875ED"/>
    <w:rsid w:val="007910C3"/>
    <w:rsid w:val="00792912"/>
    <w:rsid w:val="00793497"/>
    <w:rsid w:val="007957E7"/>
    <w:rsid w:val="007A1CDA"/>
    <w:rsid w:val="007A1EAA"/>
    <w:rsid w:val="007A23B4"/>
    <w:rsid w:val="007A542D"/>
    <w:rsid w:val="007A7688"/>
    <w:rsid w:val="007A7888"/>
    <w:rsid w:val="007A79FD"/>
    <w:rsid w:val="007B05DD"/>
    <w:rsid w:val="007B0B9D"/>
    <w:rsid w:val="007B26E3"/>
    <w:rsid w:val="007B3CDE"/>
    <w:rsid w:val="007B5A43"/>
    <w:rsid w:val="007B617B"/>
    <w:rsid w:val="007B709B"/>
    <w:rsid w:val="007C1343"/>
    <w:rsid w:val="007C5EF1"/>
    <w:rsid w:val="007C6BD8"/>
    <w:rsid w:val="007C7BF5"/>
    <w:rsid w:val="007D19B7"/>
    <w:rsid w:val="007D2CD2"/>
    <w:rsid w:val="007D523F"/>
    <w:rsid w:val="007D6401"/>
    <w:rsid w:val="007D6609"/>
    <w:rsid w:val="007D75E5"/>
    <w:rsid w:val="007D773E"/>
    <w:rsid w:val="007D7BDB"/>
    <w:rsid w:val="007D7D5F"/>
    <w:rsid w:val="007E066E"/>
    <w:rsid w:val="007E1356"/>
    <w:rsid w:val="007E20FC"/>
    <w:rsid w:val="007E3B54"/>
    <w:rsid w:val="007E437D"/>
    <w:rsid w:val="007E7062"/>
    <w:rsid w:val="007F0E1E"/>
    <w:rsid w:val="007F1D3E"/>
    <w:rsid w:val="007F29A7"/>
    <w:rsid w:val="007F4FB4"/>
    <w:rsid w:val="007F540E"/>
    <w:rsid w:val="007F5617"/>
    <w:rsid w:val="007F5CC7"/>
    <w:rsid w:val="008004B4"/>
    <w:rsid w:val="008039B4"/>
    <w:rsid w:val="00804AEC"/>
    <w:rsid w:val="00805BE8"/>
    <w:rsid w:val="00806060"/>
    <w:rsid w:val="00806D25"/>
    <w:rsid w:val="00812329"/>
    <w:rsid w:val="00812E68"/>
    <w:rsid w:val="008151BD"/>
    <w:rsid w:val="00816078"/>
    <w:rsid w:val="008177E3"/>
    <w:rsid w:val="008239A4"/>
    <w:rsid w:val="00823AA9"/>
    <w:rsid w:val="008251F6"/>
    <w:rsid w:val="008255B9"/>
    <w:rsid w:val="00825CD8"/>
    <w:rsid w:val="00827324"/>
    <w:rsid w:val="0082774F"/>
    <w:rsid w:val="00830496"/>
    <w:rsid w:val="00830DEE"/>
    <w:rsid w:val="00832118"/>
    <w:rsid w:val="00837458"/>
    <w:rsid w:val="00837AAE"/>
    <w:rsid w:val="00837B7D"/>
    <w:rsid w:val="00837C45"/>
    <w:rsid w:val="0084104C"/>
    <w:rsid w:val="00841064"/>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61DB3"/>
    <w:rsid w:val="00861E58"/>
    <w:rsid w:val="00862089"/>
    <w:rsid w:val="00862C0E"/>
    <w:rsid w:val="00863160"/>
    <w:rsid w:val="00863FB3"/>
    <w:rsid w:val="00864D49"/>
    <w:rsid w:val="00865E42"/>
    <w:rsid w:val="00866D5B"/>
    <w:rsid w:val="00866FF5"/>
    <w:rsid w:val="00867393"/>
    <w:rsid w:val="008705E6"/>
    <w:rsid w:val="00871CFE"/>
    <w:rsid w:val="00872931"/>
    <w:rsid w:val="0087332D"/>
    <w:rsid w:val="00873E1F"/>
    <w:rsid w:val="00874C16"/>
    <w:rsid w:val="00880E54"/>
    <w:rsid w:val="00881557"/>
    <w:rsid w:val="00882758"/>
    <w:rsid w:val="008833D5"/>
    <w:rsid w:val="0088383D"/>
    <w:rsid w:val="00883CF9"/>
    <w:rsid w:val="008861A4"/>
    <w:rsid w:val="00886942"/>
    <w:rsid w:val="00886D1F"/>
    <w:rsid w:val="0088713C"/>
    <w:rsid w:val="0088751F"/>
    <w:rsid w:val="008909CF"/>
    <w:rsid w:val="00891EE1"/>
    <w:rsid w:val="00892032"/>
    <w:rsid w:val="0089323A"/>
    <w:rsid w:val="00893987"/>
    <w:rsid w:val="00894009"/>
    <w:rsid w:val="00895649"/>
    <w:rsid w:val="008963EF"/>
    <w:rsid w:val="0089688E"/>
    <w:rsid w:val="00896E08"/>
    <w:rsid w:val="00897B28"/>
    <w:rsid w:val="00897E3D"/>
    <w:rsid w:val="008A1FBE"/>
    <w:rsid w:val="008A3519"/>
    <w:rsid w:val="008A6446"/>
    <w:rsid w:val="008B3194"/>
    <w:rsid w:val="008B5A29"/>
    <w:rsid w:val="008B5AE7"/>
    <w:rsid w:val="008B6545"/>
    <w:rsid w:val="008C0767"/>
    <w:rsid w:val="008C0783"/>
    <w:rsid w:val="008C0FCE"/>
    <w:rsid w:val="008C3321"/>
    <w:rsid w:val="008C5B28"/>
    <w:rsid w:val="008C60E9"/>
    <w:rsid w:val="008C6CD8"/>
    <w:rsid w:val="008C7A27"/>
    <w:rsid w:val="008D1B7C"/>
    <w:rsid w:val="008D2216"/>
    <w:rsid w:val="008D5ABD"/>
    <w:rsid w:val="008D6657"/>
    <w:rsid w:val="008D6C10"/>
    <w:rsid w:val="008E0A77"/>
    <w:rsid w:val="008E1F60"/>
    <w:rsid w:val="008E2710"/>
    <w:rsid w:val="008E307E"/>
    <w:rsid w:val="008E3A41"/>
    <w:rsid w:val="008E4AD3"/>
    <w:rsid w:val="008E6318"/>
    <w:rsid w:val="008E74F6"/>
    <w:rsid w:val="008E7B54"/>
    <w:rsid w:val="008F2A9F"/>
    <w:rsid w:val="008F4837"/>
    <w:rsid w:val="008F4DD1"/>
    <w:rsid w:val="008F5BAE"/>
    <w:rsid w:val="008F6056"/>
    <w:rsid w:val="009013AB"/>
    <w:rsid w:val="00902196"/>
    <w:rsid w:val="00902438"/>
    <w:rsid w:val="00902C07"/>
    <w:rsid w:val="00904729"/>
    <w:rsid w:val="00904F8B"/>
    <w:rsid w:val="00905804"/>
    <w:rsid w:val="009101E2"/>
    <w:rsid w:val="00915D73"/>
    <w:rsid w:val="00916077"/>
    <w:rsid w:val="00916C9F"/>
    <w:rsid w:val="00916EB4"/>
    <w:rsid w:val="009170A2"/>
    <w:rsid w:val="009208A6"/>
    <w:rsid w:val="009210C2"/>
    <w:rsid w:val="00924148"/>
    <w:rsid w:val="00924514"/>
    <w:rsid w:val="00926B1C"/>
    <w:rsid w:val="00926B93"/>
    <w:rsid w:val="00927316"/>
    <w:rsid w:val="00931127"/>
    <w:rsid w:val="0093133D"/>
    <w:rsid w:val="0093276D"/>
    <w:rsid w:val="00933D12"/>
    <w:rsid w:val="00937065"/>
    <w:rsid w:val="00937551"/>
    <w:rsid w:val="00940285"/>
    <w:rsid w:val="009415B0"/>
    <w:rsid w:val="00941F37"/>
    <w:rsid w:val="00942F99"/>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0EFC"/>
    <w:rsid w:val="00973372"/>
    <w:rsid w:val="009736BC"/>
    <w:rsid w:val="0097408E"/>
    <w:rsid w:val="009747BC"/>
    <w:rsid w:val="00974BB2"/>
    <w:rsid w:val="00974E10"/>
    <w:rsid w:val="00974FA7"/>
    <w:rsid w:val="009756E5"/>
    <w:rsid w:val="00976D4B"/>
    <w:rsid w:val="00977A8C"/>
    <w:rsid w:val="00983910"/>
    <w:rsid w:val="00987794"/>
    <w:rsid w:val="009903D7"/>
    <w:rsid w:val="009932AC"/>
    <w:rsid w:val="00994276"/>
    <w:rsid w:val="00994351"/>
    <w:rsid w:val="00996A8F"/>
    <w:rsid w:val="009A0759"/>
    <w:rsid w:val="009A171C"/>
    <w:rsid w:val="009A1DBF"/>
    <w:rsid w:val="009A68E6"/>
    <w:rsid w:val="009A7056"/>
    <w:rsid w:val="009A7598"/>
    <w:rsid w:val="009B001C"/>
    <w:rsid w:val="009B02E3"/>
    <w:rsid w:val="009B0DDD"/>
    <w:rsid w:val="009B1DF8"/>
    <w:rsid w:val="009B1FCC"/>
    <w:rsid w:val="009B2DDD"/>
    <w:rsid w:val="009B2EBE"/>
    <w:rsid w:val="009B3D20"/>
    <w:rsid w:val="009B40F2"/>
    <w:rsid w:val="009B4E65"/>
    <w:rsid w:val="009B5418"/>
    <w:rsid w:val="009C0727"/>
    <w:rsid w:val="009C181A"/>
    <w:rsid w:val="009C1D0C"/>
    <w:rsid w:val="009C2644"/>
    <w:rsid w:val="009C2C0A"/>
    <w:rsid w:val="009C3C80"/>
    <w:rsid w:val="009C492F"/>
    <w:rsid w:val="009C4CFB"/>
    <w:rsid w:val="009C5403"/>
    <w:rsid w:val="009C71D8"/>
    <w:rsid w:val="009D023B"/>
    <w:rsid w:val="009D0520"/>
    <w:rsid w:val="009D2FF2"/>
    <w:rsid w:val="009D3226"/>
    <w:rsid w:val="009D3385"/>
    <w:rsid w:val="009D5A39"/>
    <w:rsid w:val="009D78DC"/>
    <w:rsid w:val="009D793C"/>
    <w:rsid w:val="009E16A9"/>
    <w:rsid w:val="009E199B"/>
    <w:rsid w:val="009E375F"/>
    <w:rsid w:val="009E39D4"/>
    <w:rsid w:val="009E433B"/>
    <w:rsid w:val="009E5401"/>
    <w:rsid w:val="009E62A2"/>
    <w:rsid w:val="009F2CCC"/>
    <w:rsid w:val="009F5840"/>
    <w:rsid w:val="009F68F4"/>
    <w:rsid w:val="009F7294"/>
    <w:rsid w:val="009F73B4"/>
    <w:rsid w:val="00A014ED"/>
    <w:rsid w:val="00A01D2B"/>
    <w:rsid w:val="00A02F1F"/>
    <w:rsid w:val="00A0417A"/>
    <w:rsid w:val="00A04385"/>
    <w:rsid w:val="00A0758F"/>
    <w:rsid w:val="00A10FBC"/>
    <w:rsid w:val="00A11273"/>
    <w:rsid w:val="00A1295B"/>
    <w:rsid w:val="00A1337E"/>
    <w:rsid w:val="00A14C3D"/>
    <w:rsid w:val="00A1570A"/>
    <w:rsid w:val="00A173A9"/>
    <w:rsid w:val="00A20F3B"/>
    <w:rsid w:val="00A211B4"/>
    <w:rsid w:val="00A2145C"/>
    <w:rsid w:val="00A238C6"/>
    <w:rsid w:val="00A24672"/>
    <w:rsid w:val="00A24F72"/>
    <w:rsid w:val="00A2573D"/>
    <w:rsid w:val="00A25FD2"/>
    <w:rsid w:val="00A27FF3"/>
    <w:rsid w:val="00A33DDF"/>
    <w:rsid w:val="00A34547"/>
    <w:rsid w:val="00A34601"/>
    <w:rsid w:val="00A34E60"/>
    <w:rsid w:val="00A35601"/>
    <w:rsid w:val="00A36769"/>
    <w:rsid w:val="00A376B7"/>
    <w:rsid w:val="00A37BBE"/>
    <w:rsid w:val="00A409EC"/>
    <w:rsid w:val="00A41A77"/>
    <w:rsid w:val="00A41BF5"/>
    <w:rsid w:val="00A446E3"/>
    <w:rsid w:val="00A44778"/>
    <w:rsid w:val="00A44ED2"/>
    <w:rsid w:val="00A469E7"/>
    <w:rsid w:val="00A51548"/>
    <w:rsid w:val="00A51BB0"/>
    <w:rsid w:val="00A51C09"/>
    <w:rsid w:val="00A55BAB"/>
    <w:rsid w:val="00A604A4"/>
    <w:rsid w:val="00A61B7D"/>
    <w:rsid w:val="00A61E7E"/>
    <w:rsid w:val="00A62C0D"/>
    <w:rsid w:val="00A63D6B"/>
    <w:rsid w:val="00A652B0"/>
    <w:rsid w:val="00A6605B"/>
    <w:rsid w:val="00A66ADC"/>
    <w:rsid w:val="00A670CE"/>
    <w:rsid w:val="00A675C3"/>
    <w:rsid w:val="00A7147D"/>
    <w:rsid w:val="00A715B5"/>
    <w:rsid w:val="00A73007"/>
    <w:rsid w:val="00A73855"/>
    <w:rsid w:val="00A7752A"/>
    <w:rsid w:val="00A80578"/>
    <w:rsid w:val="00A80E16"/>
    <w:rsid w:val="00A81B15"/>
    <w:rsid w:val="00A837FF"/>
    <w:rsid w:val="00A84DC8"/>
    <w:rsid w:val="00A85DBC"/>
    <w:rsid w:val="00A86E83"/>
    <w:rsid w:val="00A86F23"/>
    <w:rsid w:val="00A87E0A"/>
    <w:rsid w:val="00A87FEB"/>
    <w:rsid w:val="00A927AD"/>
    <w:rsid w:val="00A92914"/>
    <w:rsid w:val="00A93899"/>
    <w:rsid w:val="00A93F9F"/>
    <w:rsid w:val="00A9420E"/>
    <w:rsid w:val="00A97648"/>
    <w:rsid w:val="00A97CAF"/>
    <w:rsid w:val="00AA084C"/>
    <w:rsid w:val="00AA0CE9"/>
    <w:rsid w:val="00AA1879"/>
    <w:rsid w:val="00AA1CFD"/>
    <w:rsid w:val="00AA2239"/>
    <w:rsid w:val="00AA33D2"/>
    <w:rsid w:val="00AA658F"/>
    <w:rsid w:val="00AA7160"/>
    <w:rsid w:val="00AB0C2C"/>
    <w:rsid w:val="00AB0C57"/>
    <w:rsid w:val="00AB1195"/>
    <w:rsid w:val="00AB32FF"/>
    <w:rsid w:val="00AB4182"/>
    <w:rsid w:val="00AB4FE9"/>
    <w:rsid w:val="00AB564D"/>
    <w:rsid w:val="00AB60C9"/>
    <w:rsid w:val="00AB78AD"/>
    <w:rsid w:val="00AC0B1C"/>
    <w:rsid w:val="00AC27DB"/>
    <w:rsid w:val="00AC3686"/>
    <w:rsid w:val="00AC42FF"/>
    <w:rsid w:val="00AC5B43"/>
    <w:rsid w:val="00AC6D6B"/>
    <w:rsid w:val="00AC7D4D"/>
    <w:rsid w:val="00AD0835"/>
    <w:rsid w:val="00AD0D60"/>
    <w:rsid w:val="00AD301A"/>
    <w:rsid w:val="00AD4DB3"/>
    <w:rsid w:val="00AD7736"/>
    <w:rsid w:val="00AE10CE"/>
    <w:rsid w:val="00AE16FF"/>
    <w:rsid w:val="00AE1BE1"/>
    <w:rsid w:val="00AE25E9"/>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1149"/>
    <w:rsid w:val="00B12B26"/>
    <w:rsid w:val="00B153C9"/>
    <w:rsid w:val="00B163F8"/>
    <w:rsid w:val="00B16730"/>
    <w:rsid w:val="00B2115A"/>
    <w:rsid w:val="00B2472D"/>
    <w:rsid w:val="00B24CA0"/>
    <w:rsid w:val="00B2549F"/>
    <w:rsid w:val="00B26E3D"/>
    <w:rsid w:val="00B3364C"/>
    <w:rsid w:val="00B339C7"/>
    <w:rsid w:val="00B36FA6"/>
    <w:rsid w:val="00B3717C"/>
    <w:rsid w:val="00B4108D"/>
    <w:rsid w:val="00B42533"/>
    <w:rsid w:val="00B43D5E"/>
    <w:rsid w:val="00B464BF"/>
    <w:rsid w:val="00B46988"/>
    <w:rsid w:val="00B470AB"/>
    <w:rsid w:val="00B52E8C"/>
    <w:rsid w:val="00B541B6"/>
    <w:rsid w:val="00B57265"/>
    <w:rsid w:val="00B61FEA"/>
    <w:rsid w:val="00B633AE"/>
    <w:rsid w:val="00B65F3C"/>
    <w:rsid w:val="00B665D2"/>
    <w:rsid w:val="00B666F4"/>
    <w:rsid w:val="00B6737C"/>
    <w:rsid w:val="00B67E83"/>
    <w:rsid w:val="00B71413"/>
    <w:rsid w:val="00B714A0"/>
    <w:rsid w:val="00B7214D"/>
    <w:rsid w:val="00B73696"/>
    <w:rsid w:val="00B74372"/>
    <w:rsid w:val="00B75451"/>
    <w:rsid w:val="00B75525"/>
    <w:rsid w:val="00B75DD3"/>
    <w:rsid w:val="00B80283"/>
    <w:rsid w:val="00B80312"/>
    <w:rsid w:val="00B8095F"/>
    <w:rsid w:val="00B80B0C"/>
    <w:rsid w:val="00B80B11"/>
    <w:rsid w:val="00B815D8"/>
    <w:rsid w:val="00B82C1B"/>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0698"/>
    <w:rsid w:val="00BB1401"/>
    <w:rsid w:val="00BB14F1"/>
    <w:rsid w:val="00BB1D11"/>
    <w:rsid w:val="00BB44C5"/>
    <w:rsid w:val="00BB572E"/>
    <w:rsid w:val="00BB74FD"/>
    <w:rsid w:val="00BB754E"/>
    <w:rsid w:val="00BC0E45"/>
    <w:rsid w:val="00BC1E71"/>
    <w:rsid w:val="00BC358D"/>
    <w:rsid w:val="00BC5982"/>
    <w:rsid w:val="00BC60BF"/>
    <w:rsid w:val="00BC7C1E"/>
    <w:rsid w:val="00BD0D3F"/>
    <w:rsid w:val="00BD28BF"/>
    <w:rsid w:val="00BD4840"/>
    <w:rsid w:val="00BD517C"/>
    <w:rsid w:val="00BD520E"/>
    <w:rsid w:val="00BD6404"/>
    <w:rsid w:val="00BD7E67"/>
    <w:rsid w:val="00BE0280"/>
    <w:rsid w:val="00BE3020"/>
    <w:rsid w:val="00BE3037"/>
    <w:rsid w:val="00BE33AE"/>
    <w:rsid w:val="00BE67B3"/>
    <w:rsid w:val="00BE73E9"/>
    <w:rsid w:val="00BF046F"/>
    <w:rsid w:val="00BF2D03"/>
    <w:rsid w:val="00BF5BEC"/>
    <w:rsid w:val="00BF7F65"/>
    <w:rsid w:val="00C00894"/>
    <w:rsid w:val="00C0194D"/>
    <w:rsid w:val="00C01D50"/>
    <w:rsid w:val="00C030E2"/>
    <w:rsid w:val="00C04387"/>
    <w:rsid w:val="00C056DC"/>
    <w:rsid w:val="00C06652"/>
    <w:rsid w:val="00C118FD"/>
    <w:rsid w:val="00C1329B"/>
    <w:rsid w:val="00C13EE3"/>
    <w:rsid w:val="00C1572F"/>
    <w:rsid w:val="00C16F14"/>
    <w:rsid w:val="00C23B78"/>
    <w:rsid w:val="00C24C05"/>
    <w:rsid w:val="00C24D2F"/>
    <w:rsid w:val="00C26222"/>
    <w:rsid w:val="00C31283"/>
    <w:rsid w:val="00C32685"/>
    <w:rsid w:val="00C33C48"/>
    <w:rsid w:val="00C340E5"/>
    <w:rsid w:val="00C34C8E"/>
    <w:rsid w:val="00C35AA7"/>
    <w:rsid w:val="00C35E7B"/>
    <w:rsid w:val="00C35FD5"/>
    <w:rsid w:val="00C369EE"/>
    <w:rsid w:val="00C3746B"/>
    <w:rsid w:val="00C37E00"/>
    <w:rsid w:val="00C43BA1"/>
    <w:rsid w:val="00C43DAB"/>
    <w:rsid w:val="00C45161"/>
    <w:rsid w:val="00C46510"/>
    <w:rsid w:val="00C4787F"/>
    <w:rsid w:val="00C47F08"/>
    <w:rsid w:val="00C50FA6"/>
    <w:rsid w:val="00C514A6"/>
    <w:rsid w:val="00C52684"/>
    <w:rsid w:val="00C52D15"/>
    <w:rsid w:val="00C56765"/>
    <w:rsid w:val="00C5713F"/>
    <w:rsid w:val="00C5739F"/>
    <w:rsid w:val="00C57CF0"/>
    <w:rsid w:val="00C63557"/>
    <w:rsid w:val="00C649BD"/>
    <w:rsid w:val="00C65891"/>
    <w:rsid w:val="00C66AC9"/>
    <w:rsid w:val="00C66BBB"/>
    <w:rsid w:val="00C70300"/>
    <w:rsid w:val="00C724D3"/>
    <w:rsid w:val="00C750CC"/>
    <w:rsid w:val="00C765D8"/>
    <w:rsid w:val="00C77100"/>
    <w:rsid w:val="00C7724A"/>
    <w:rsid w:val="00C77DD9"/>
    <w:rsid w:val="00C80A37"/>
    <w:rsid w:val="00C80DE8"/>
    <w:rsid w:val="00C83BE6"/>
    <w:rsid w:val="00C83C7A"/>
    <w:rsid w:val="00C85354"/>
    <w:rsid w:val="00C86ABA"/>
    <w:rsid w:val="00C906EE"/>
    <w:rsid w:val="00C90BB1"/>
    <w:rsid w:val="00C93048"/>
    <w:rsid w:val="00C943F3"/>
    <w:rsid w:val="00C958A0"/>
    <w:rsid w:val="00CA08C6"/>
    <w:rsid w:val="00CA0A77"/>
    <w:rsid w:val="00CA2729"/>
    <w:rsid w:val="00CA2A1F"/>
    <w:rsid w:val="00CA3057"/>
    <w:rsid w:val="00CA45F8"/>
    <w:rsid w:val="00CA5C2A"/>
    <w:rsid w:val="00CA7538"/>
    <w:rsid w:val="00CB0305"/>
    <w:rsid w:val="00CB33C7"/>
    <w:rsid w:val="00CB3E1C"/>
    <w:rsid w:val="00CB5886"/>
    <w:rsid w:val="00CB6DA7"/>
    <w:rsid w:val="00CB7E4C"/>
    <w:rsid w:val="00CC25B4"/>
    <w:rsid w:val="00CC2850"/>
    <w:rsid w:val="00CC5F88"/>
    <w:rsid w:val="00CC683E"/>
    <w:rsid w:val="00CC69C8"/>
    <w:rsid w:val="00CC77A2"/>
    <w:rsid w:val="00CC7FC6"/>
    <w:rsid w:val="00CD0903"/>
    <w:rsid w:val="00CD1B06"/>
    <w:rsid w:val="00CD240A"/>
    <w:rsid w:val="00CD307E"/>
    <w:rsid w:val="00CD332C"/>
    <w:rsid w:val="00CD5B52"/>
    <w:rsid w:val="00CD607D"/>
    <w:rsid w:val="00CD629F"/>
    <w:rsid w:val="00CD6A1B"/>
    <w:rsid w:val="00CD6D15"/>
    <w:rsid w:val="00CD7B7E"/>
    <w:rsid w:val="00CE064E"/>
    <w:rsid w:val="00CE0A7F"/>
    <w:rsid w:val="00CE1718"/>
    <w:rsid w:val="00CE4457"/>
    <w:rsid w:val="00CF00E5"/>
    <w:rsid w:val="00CF02B2"/>
    <w:rsid w:val="00CF4156"/>
    <w:rsid w:val="00CF43CB"/>
    <w:rsid w:val="00CF6A54"/>
    <w:rsid w:val="00D0036C"/>
    <w:rsid w:val="00D02F8A"/>
    <w:rsid w:val="00D03D00"/>
    <w:rsid w:val="00D05C30"/>
    <w:rsid w:val="00D07305"/>
    <w:rsid w:val="00D10052"/>
    <w:rsid w:val="00D11359"/>
    <w:rsid w:val="00D11622"/>
    <w:rsid w:val="00D11C48"/>
    <w:rsid w:val="00D14763"/>
    <w:rsid w:val="00D15544"/>
    <w:rsid w:val="00D16F83"/>
    <w:rsid w:val="00D2161C"/>
    <w:rsid w:val="00D2443B"/>
    <w:rsid w:val="00D270A0"/>
    <w:rsid w:val="00D27C9D"/>
    <w:rsid w:val="00D3188C"/>
    <w:rsid w:val="00D343D7"/>
    <w:rsid w:val="00D35EAB"/>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4273"/>
    <w:rsid w:val="00D65C92"/>
    <w:rsid w:val="00D67FCF"/>
    <w:rsid w:val="00D709CE"/>
    <w:rsid w:val="00D711E7"/>
    <w:rsid w:val="00D71ED2"/>
    <w:rsid w:val="00D71F73"/>
    <w:rsid w:val="00D7424B"/>
    <w:rsid w:val="00D802B6"/>
    <w:rsid w:val="00D80786"/>
    <w:rsid w:val="00D80866"/>
    <w:rsid w:val="00D81CAB"/>
    <w:rsid w:val="00D83936"/>
    <w:rsid w:val="00D83AAD"/>
    <w:rsid w:val="00D8576F"/>
    <w:rsid w:val="00D86472"/>
    <w:rsid w:val="00D8677F"/>
    <w:rsid w:val="00D87EEF"/>
    <w:rsid w:val="00D96FB9"/>
    <w:rsid w:val="00D97F0C"/>
    <w:rsid w:val="00DA0488"/>
    <w:rsid w:val="00DA11A8"/>
    <w:rsid w:val="00DA3A86"/>
    <w:rsid w:val="00DA50FE"/>
    <w:rsid w:val="00DA67E1"/>
    <w:rsid w:val="00DB696F"/>
    <w:rsid w:val="00DC0263"/>
    <w:rsid w:val="00DC2500"/>
    <w:rsid w:val="00DC2C40"/>
    <w:rsid w:val="00DC45CF"/>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0264"/>
    <w:rsid w:val="00E01037"/>
    <w:rsid w:val="00E0227D"/>
    <w:rsid w:val="00E04316"/>
    <w:rsid w:val="00E04B84"/>
    <w:rsid w:val="00E06466"/>
    <w:rsid w:val="00E06835"/>
    <w:rsid w:val="00E069BF"/>
    <w:rsid w:val="00E06FDA"/>
    <w:rsid w:val="00E0783E"/>
    <w:rsid w:val="00E10666"/>
    <w:rsid w:val="00E1169C"/>
    <w:rsid w:val="00E11AA7"/>
    <w:rsid w:val="00E121EE"/>
    <w:rsid w:val="00E12658"/>
    <w:rsid w:val="00E133DC"/>
    <w:rsid w:val="00E14BAA"/>
    <w:rsid w:val="00E151CD"/>
    <w:rsid w:val="00E160A5"/>
    <w:rsid w:val="00E16F88"/>
    <w:rsid w:val="00E1713D"/>
    <w:rsid w:val="00E20A43"/>
    <w:rsid w:val="00E23898"/>
    <w:rsid w:val="00E2392F"/>
    <w:rsid w:val="00E2416C"/>
    <w:rsid w:val="00E319F1"/>
    <w:rsid w:val="00E31AFA"/>
    <w:rsid w:val="00E3356D"/>
    <w:rsid w:val="00E335C4"/>
    <w:rsid w:val="00E33CD2"/>
    <w:rsid w:val="00E34E30"/>
    <w:rsid w:val="00E3508C"/>
    <w:rsid w:val="00E35687"/>
    <w:rsid w:val="00E40E90"/>
    <w:rsid w:val="00E424AC"/>
    <w:rsid w:val="00E427A7"/>
    <w:rsid w:val="00E42F88"/>
    <w:rsid w:val="00E4562C"/>
    <w:rsid w:val="00E45C7E"/>
    <w:rsid w:val="00E52D3E"/>
    <w:rsid w:val="00E531EB"/>
    <w:rsid w:val="00E54874"/>
    <w:rsid w:val="00E54B6F"/>
    <w:rsid w:val="00E55ACA"/>
    <w:rsid w:val="00E55F2D"/>
    <w:rsid w:val="00E56117"/>
    <w:rsid w:val="00E57B74"/>
    <w:rsid w:val="00E65BC6"/>
    <w:rsid w:val="00E661FF"/>
    <w:rsid w:val="00E6721E"/>
    <w:rsid w:val="00E67A6E"/>
    <w:rsid w:val="00E70D9C"/>
    <w:rsid w:val="00E726EB"/>
    <w:rsid w:val="00E72AC0"/>
    <w:rsid w:val="00E72CF1"/>
    <w:rsid w:val="00E75BCE"/>
    <w:rsid w:val="00E8082F"/>
    <w:rsid w:val="00E80B52"/>
    <w:rsid w:val="00E824C3"/>
    <w:rsid w:val="00E840B3"/>
    <w:rsid w:val="00E8447B"/>
    <w:rsid w:val="00E84D10"/>
    <w:rsid w:val="00E84D2E"/>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109C"/>
    <w:rsid w:val="00EB17AD"/>
    <w:rsid w:val="00EB42BD"/>
    <w:rsid w:val="00EB61AE"/>
    <w:rsid w:val="00EB7162"/>
    <w:rsid w:val="00EC197B"/>
    <w:rsid w:val="00EC322D"/>
    <w:rsid w:val="00EC4C3F"/>
    <w:rsid w:val="00EC579A"/>
    <w:rsid w:val="00EC6C54"/>
    <w:rsid w:val="00ED1701"/>
    <w:rsid w:val="00ED30C0"/>
    <w:rsid w:val="00ED383A"/>
    <w:rsid w:val="00ED65B6"/>
    <w:rsid w:val="00ED69FE"/>
    <w:rsid w:val="00EE1080"/>
    <w:rsid w:val="00EE52B8"/>
    <w:rsid w:val="00EE690F"/>
    <w:rsid w:val="00EF1737"/>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7167"/>
    <w:rsid w:val="00F072D8"/>
    <w:rsid w:val="00F07CE0"/>
    <w:rsid w:val="00F115F5"/>
    <w:rsid w:val="00F13D05"/>
    <w:rsid w:val="00F14977"/>
    <w:rsid w:val="00F1679D"/>
    <w:rsid w:val="00F1682C"/>
    <w:rsid w:val="00F16E9A"/>
    <w:rsid w:val="00F16F55"/>
    <w:rsid w:val="00F17AEE"/>
    <w:rsid w:val="00F20162"/>
    <w:rsid w:val="00F20B91"/>
    <w:rsid w:val="00F21139"/>
    <w:rsid w:val="00F214EE"/>
    <w:rsid w:val="00F21F08"/>
    <w:rsid w:val="00F24B8B"/>
    <w:rsid w:val="00F24F05"/>
    <w:rsid w:val="00F2699E"/>
    <w:rsid w:val="00F26AB6"/>
    <w:rsid w:val="00F30D2E"/>
    <w:rsid w:val="00F328D1"/>
    <w:rsid w:val="00F33FBE"/>
    <w:rsid w:val="00F35516"/>
    <w:rsid w:val="00F35790"/>
    <w:rsid w:val="00F36F00"/>
    <w:rsid w:val="00F4136D"/>
    <w:rsid w:val="00F41387"/>
    <w:rsid w:val="00F41AFE"/>
    <w:rsid w:val="00F4212E"/>
    <w:rsid w:val="00F42C20"/>
    <w:rsid w:val="00F43AB4"/>
    <w:rsid w:val="00F43E34"/>
    <w:rsid w:val="00F44B96"/>
    <w:rsid w:val="00F45513"/>
    <w:rsid w:val="00F479F5"/>
    <w:rsid w:val="00F47D6F"/>
    <w:rsid w:val="00F52493"/>
    <w:rsid w:val="00F52F68"/>
    <w:rsid w:val="00F53053"/>
    <w:rsid w:val="00F53FE2"/>
    <w:rsid w:val="00F55540"/>
    <w:rsid w:val="00F575FF"/>
    <w:rsid w:val="00F5763D"/>
    <w:rsid w:val="00F57CAD"/>
    <w:rsid w:val="00F618EF"/>
    <w:rsid w:val="00F61F42"/>
    <w:rsid w:val="00F62EB8"/>
    <w:rsid w:val="00F63F64"/>
    <w:rsid w:val="00F65582"/>
    <w:rsid w:val="00F66E75"/>
    <w:rsid w:val="00F679ED"/>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787"/>
    <w:rsid w:val="00FA7F3D"/>
    <w:rsid w:val="00FB0202"/>
    <w:rsid w:val="00FB0B3D"/>
    <w:rsid w:val="00FB2A6F"/>
    <w:rsid w:val="00FB38D8"/>
    <w:rsid w:val="00FB6D50"/>
    <w:rsid w:val="00FB72A3"/>
    <w:rsid w:val="00FC051F"/>
    <w:rsid w:val="00FC06FF"/>
    <w:rsid w:val="00FC133D"/>
    <w:rsid w:val="00FC2BE3"/>
    <w:rsid w:val="00FC6879"/>
    <w:rsid w:val="00FC69B4"/>
    <w:rsid w:val="00FD0694"/>
    <w:rsid w:val="00FD0B56"/>
    <w:rsid w:val="00FD2540"/>
    <w:rsid w:val="00FD25BE"/>
    <w:rsid w:val="00FD2B61"/>
    <w:rsid w:val="00FD2E70"/>
    <w:rsid w:val="00FD58CC"/>
    <w:rsid w:val="00FD71E9"/>
    <w:rsid w:val="00FD7AA7"/>
    <w:rsid w:val="00FE0266"/>
    <w:rsid w:val="00FE06C1"/>
    <w:rsid w:val="00FE3A19"/>
    <w:rsid w:val="00FE3B42"/>
    <w:rsid w:val="00FE6B53"/>
    <w:rsid w:val="00FE6DA9"/>
    <w:rsid w:val="00FF0A59"/>
    <w:rsid w:val="00FF1FCB"/>
    <w:rsid w:val="00FF3EFF"/>
    <w:rsid w:val="00FF4C1F"/>
    <w:rsid w:val="00FF52D4"/>
    <w:rsid w:val="00FF5569"/>
    <w:rsid w:val="00FF6AA4"/>
    <w:rsid w:val="00FF6B09"/>
    <w:rsid w:val="053D3180"/>
    <w:rsid w:val="08322BDC"/>
    <w:rsid w:val="093A37E0"/>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294DB0"/>
  <w15:docId w15:val="{D65B28B9-3121-4BC0-A5BB-29DD146F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DefaultParagraphFon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customStyle="1" w:styleId="Rvision2">
    <w:name w:val="Révision2"/>
    <w:hidden/>
    <w:uiPriority w:val="99"/>
    <w:semiHidden/>
    <w:pPr>
      <w:spacing w:after="0" w:line="240" w:lineRule="auto"/>
    </w:pPr>
    <w:rPr>
      <w:lang w:val="en-GB" w:eastAsia="en-US"/>
    </w:rPr>
  </w:style>
  <w:style w:type="character" w:customStyle="1" w:styleId="extrainfo">
    <w:name w:val="extrainfo"/>
    <w:basedOn w:val="DefaultParagraphFont"/>
  </w:style>
  <w:style w:type="paragraph" w:customStyle="1" w:styleId="Text">
    <w:name w:val="Text"/>
    <w:basedOn w:val="Normal"/>
    <w:rsid w:val="00020069"/>
    <w:pPr>
      <w:keepLines/>
      <w:spacing w:after="240" w:line="240" w:lineRule="auto"/>
      <w:jc w:val="both"/>
    </w:pPr>
    <w:rPr>
      <w:rFonts w:ascii="Arial" w:eastAsia="Times New Roman" w:hAnsi="Arial"/>
      <w:sz w:val="24"/>
      <w:lang w:eastAsia="fr-FR"/>
    </w:rPr>
  </w:style>
  <w:style w:type="paragraph" w:styleId="Revision">
    <w:name w:val="Revision"/>
    <w:hidden/>
    <w:uiPriority w:val="99"/>
    <w:semiHidden/>
    <w:rsid w:val="00C13EE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335094">
      <w:bodyDiv w:val="1"/>
      <w:marLeft w:val="0"/>
      <w:marRight w:val="0"/>
      <w:marTop w:val="0"/>
      <w:marBottom w:val="0"/>
      <w:divBdr>
        <w:top w:val="none" w:sz="0" w:space="0" w:color="auto"/>
        <w:left w:val="none" w:sz="0" w:space="0" w:color="auto"/>
        <w:bottom w:val="none" w:sz="0" w:space="0" w:color="auto"/>
        <w:right w:val="none" w:sz="0" w:space="0" w:color="auto"/>
      </w:divBdr>
    </w:div>
    <w:div w:id="1358458435">
      <w:bodyDiv w:val="1"/>
      <w:marLeft w:val="0"/>
      <w:marRight w:val="0"/>
      <w:marTop w:val="0"/>
      <w:marBottom w:val="0"/>
      <w:divBdr>
        <w:top w:val="none" w:sz="0" w:space="0" w:color="auto"/>
        <w:left w:val="none" w:sz="0" w:space="0" w:color="auto"/>
        <w:bottom w:val="none" w:sz="0" w:space="0" w:color="auto"/>
        <w:right w:val="none" w:sz="0" w:space="0" w:color="auto"/>
      </w:divBdr>
    </w:div>
    <w:div w:id="1940261179">
      <w:bodyDiv w:val="1"/>
      <w:marLeft w:val="0"/>
      <w:marRight w:val="0"/>
      <w:marTop w:val="0"/>
      <w:marBottom w:val="0"/>
      <w:divBdr>
        <w:top w:val="none" w:sz="0" w:space="0" w:color="auto"/>
        <w:left w:val="none" w:sz="0" w:space="0" w:color="auto"/>
        <w:bottom w:val="none" w:sz="0" w:space="0" w:color="auto"/>
        <w:right w:val="none" w:sz="0" w:space="0" w:color="auto"/>
      </w:divBdr>
    </w:div>
    <w:div w:id="2025747856">
      <w:bodyDiv w:val="1"/>
      <w:marLeft w:val="0"/>
      <w:marRight w:val="0"/>
      <w:marTop w:val="0"/>
      <w:marBottom w:val="0"/>
      <w:divBdr>
        <w:top w:val="none" w:sz="0" w:space="0" w:color="auto"/>
        <w:left w:val="none" w:sz="0" w:space="0" w:color="auto"/>
        <w:bottom w:val="none" w:sz="0" w:space="0" w:color="auto"/>
        <w:right w:val="none" w:sz="0" w:space="0" w:color="auto"/>
      </w:divBdr>
    </w:div>
    <w:div w:id="2146269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07/relationships/hdphoto" Target="media/hdphoto1.wdp"/><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0" ma:contentTypeDescription="Create a new document." ma:contentTypeScope="" ma:versionID="957639946ba9d80302efb5ec7533abc0">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28490c39b1eae2a66583ca8f2f96614d"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F17CD-4DF9-4380-8339-2731BAF6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5.xml><?xml version="1.0" encoding="utf-8"?>
<ds:datastoreItem xmlns:ds="http://schemas.openxmlformats.org/officeDocument/2006/customXml" ds:itemID="{28B8D526-D7FB-4259-B259-866C7984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2912</Words>
  <Characters>16184</Characters>
  <Application>Microsoft Office Word</Application>
  <DocSecurity>0</DocSecurity>
  <Lines>330</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Inmarsat</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Dorin PANAITOPOL</dc:creator>
  <cp:lastModifiedBy>Luca Lodigiani</cp:lastModifiedBy>
  <cp:revision>76</cp:revision>
  <cp:lastPrinted>2019-04-25T01:09:00Z</cp:lastPrinted>
  <dcterms:created xsi:type="dcterms:W3CDTF">2022-11-07T11:47:00Z</dcterms:created>
  <dcterms:modified xsi:type="dcterms:W3CDTF">2022-11-07T23:11:00Z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0x010100B98573469650B343AF314866C5FCEB84</vt:lpwstr>
  </property>
  <property fmtid="{D5CDD505-2E9C-101B-9397-08002B2CF9AE}" pid="9" name="KSOProductBuildVer">
    <vt:lpwstr>2052-11.8.2.8875</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MediaServiceImageTags">
    <vt:lpwstr/>
  </property>
  <property fmtid="{D5CDD505-2E9C-101B-9397-08002B2CF9AE}" pid="16" name="MSIP_Label_67f73250-91c3-4058-a7be-ac7b98891567_Enabled">
    <vt:lpwstr>true</vt:lpwstr>
  </property>
  <property fmtid="{D5CDD505-2E9C-101B-9397-08002B2CF9AE}" pid="17" name="MSIP_Label_67f73250-91c3-4058-a7be-ac7b98891567_SetDate">
    <vt:lpwstr>2022-11-07T21:30:04Z</vt:lpwstr>
  </property>
  <property fmtid="{D5CDD505-2E9C-101B-9397-08002B2CF9AE}" pid="18" name="MSIP_Label_67f73250-91c3-4058-a7be-ac7b98891567_Method">
    <vt:lpwstr>Standard</vt:lpwstr>
  </property>
  <property fmtid="{D5CDD505-2E9C-101B-9397-08002B2CF9AE}" pid="19" name="MSIP_Label_67f73250-91c3-4058-a7be-ac7b98891567_Name">
    <vt:lpwstr>Internal</vt:lpwstr>
  </property>
  <property fmtid="{D5CDD505-2E9C-101B-9397-08002B2CF9AE}" pid="20" name="MSIP_Label_67f73250-91c3-4058-a7be-ac7b98891567_SiteId">
    <vt:lpwstr>43eba056-5ca4-4871-89ac-bdd09160ce7e</vt:lpwstr>
  </property>
  <property fmtid="{D5CDD505-2E9C-101B-9397-08002B2CF9AE}" pid="21" name="MSIP_Label_67f73250-91c3-4058-a7be-ac7b98891567_ActionId">
    <vt:lpwstr>82b5cb8a-f543-4b29-b93e-cb37493cdda4</vt:lpwstr>
  </property>
  <property fmtid="{D5CDD505-2E9C-101B-9397-08002B2CF9AE}" pid="22" name="MSIP_Label_67f73250-91c3-4058-a7be-ac7b98891567_ContentBits">
    <vt:lpwstr>2</vt:lpwstr>
  </property>
</Properties>
</file>